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4899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10858500</wp:posOffset>
            </wp:positionV>
            <wp:extent cx="355600" cy="482600"/>
            <wp:effectExtent l="0" t="0" r="10160" b="508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北京市2025年普通高中学业水平等级性考试</w:t>
      </w:r>
    </w:p>
    <w:p w14:paraId="4C064AB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69E9B4F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本试卷共8页，100分。考试时长90分钟。考生务必将答案答在答题卡上，在试卷上作答无效。考试结束后，将本试卷和答题卡一并交回。</w:t>
      </w:r>
    </w:p>
    <w:p w14:paraId="4CBC037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6355CEB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本部分共15题，每题3分，共45分。在每题列出的四个选项中，选出最符合题目要求的一项。</w:t>
      </w:r>
    </w:p>
    <w:p w14:paraId="426EE56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《史记》记载，“秦每破诸侯，写放（仿）其宫室，作之咸阳北阪上”。考古工作者在秦咸阳城北部发现两处建筑基址，结合在此出土的楚国和燕国形制的瓦当，推测此处曾有仿照两国形制建造的宫殿。这体现（   ）</w:t>
      </w:r>
    </w:p>
    <w:p w14:paraId="05BBD7D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①秦国统一进程促进了文化交流  ②丝绸之路的开辟便利了交通</w:t>
      </w:r>
    </w:p>
    <w:p w14:paraId="58E2644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③考古发现可与文献记载相印证  ④当时各地建筑风格实现统一</w:t>
      </w:r>
    </w:p>
    <w:p w14:paraId="332C85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</w:t>
      </w:r>
    </w:p>
    <w:p w14:paraId="39498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汉武帝在位中后期，多次巡行祭祀五岳。此后，五岳祭祀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国家制度逐渐完善。读图可知，汉武帝（   ）</w:t>
      </w:r>
    </w:p>
    <w:p w14:paraId="0DDE8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24425" cy="2219325"/>
            <wp:effectExtent l="0" t="0" r="13335" b="5715"/>
            <wp:docPr id="100003" name="图片 100003" descr="学科网(www.zxxk.com)--教育资源门户，提供试卷、教案、课件、论文、素材以及各类教学资源下载，还有大量而丰富的教学相关资讯！ DgmVr84Ae8L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gmVr84Ae8LNAx1ODbqMbQ==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D40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依据黄老思想治国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北击匈奴扩大了疆域</w:t>
      </w:r>
    </w:p>
    <w:p w14:paraId="2F52FD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通过祭祀强化皇权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取消了郡国并行制度</w:t>
      </w:r>
    </w:p>
    <w:p w14:paraId="5282C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“圣王作制，籍无黄白之别。昔中原丧乱，流寓江左……自尔渐久，人安其业……虽无本邦之名，而有安土之实。今宜正其封疆，以土断人户，明考课之科，修闾伍之法。”这一建议有利于东晋政府（   ）</w:t>
      </w:r>
    </w:p>
    <w:p w14:paraId="4439C7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鼓励流民返回原籍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增加赋役强化管理</w:t>
      </w:r>
    </w:p>
    <w:p w14:paraId="66BD4D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提高寒门政治地位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编制黄册管理户籍</w:t>
      </w:r>
    </w:p>
    <w:p w14:paraId="592ACA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吐鲁番出土一件贞观年间由中央逐级传递到地方的敕旨文书，部分内容见下面示意图。这反映唐初（   ）</w:t>
      </w:r>
    </w:p>
    <w:p w14:paraId="4C567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2295525"/>
            <wp:effectExtent l="0" t="0" r="11430" b="5715"/>
            <wp:docPr id="100005" name="图片 100005" descr="学科网(www.zxxk.com)--教育资源门户，提供试卷、教案、课件、论文、素材以及各类教学资源下载，还有大量而丰富的教学相关资讯！ DgmVr84Ae8L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gmVr84Ae8LNAx1ODbqMbQ==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884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①文书行政推广到了西域  ②尚书省是政令决策机构</w:t>
      </w:r>
    </w:p>
    <w:p w14:paraId="21EAD2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③安西都护府下设县管理  ④加强了与吐蕃间的交流</w:t>
      </w:r>
    </w:p>
    <w:p w14:paraId="2A0500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06B7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乾隆初年，白银是核算赋税的标准，官方规定收税时1000文铜钱兑换1两白银。直隶永平府征收赋税时，以铜钱代替白银。但当时市场上“钱价昂贵，民间交纳钱文，比之完纳银两，为费较重”。为此，乾隆皇帝命令直隶总督，民间缴纳赋税时，“银、钱听其自便”。以上材料说明，当时赋税政策的调整（   ）</w:t>
      </w:r>
    </w:p>
    <w:p w14:paraId="737B90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①减轻了对农民的人身控制  ②受到了货币政策的影响</w:t>
      </w:r>
    </w:p>
    <w:p w14:paraId="5BBE49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③兼顾财政收入与社会稳定  ④旨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571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推动商品经济发展</w:t>
      </w:r>
    </w:p>
    <w:p w14:paraId="084521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1CB0C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太平军之起，固宗教上之逼迫使然，实则亦非真因……予意当时即无洪秀全，中国亦必不能免于革命。设有人以耶稣教之关系及清政府之操切，为……革命之原因，则其所见浅陋实甚。恶根实种于满洲政府之政治，最大之真因为行政机关之腐败，政以贿成。”此言意在说明（   ）</w:t>
      </w:r>
    </w:p>
    <w:p w14:paraId="14F8A1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太平天国与西方的宗教没有关联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清廷腐朽统治是农民革命动因</w:t>
      </w:r>
    </w:p>
    <w:p w14:paraId="7E4BCF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没有洪秀全就不会发生农民起义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内部腐败导致太平天国的失败</w:t>
      </w:r>
    </w:p>
    <w:p w14:paraId="5FD8C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“代表群众的利益，由你罢免和选举，不是讲威武，不是讲威武，人人都能监督这政府。亲爱的工友们哪，亲爱的农友们哪，这政府靠咱们一致来拥护。”这段革命歌谣意在（   ）</w:t>
      </w:r>
    </w:p>
    <w:p w14:paraId="3B7D14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宣传武装夺取政权的紧迫性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号召苏区群众参与政权建设</w:t>
      </w:r>
    </w:p>
    <w:p w14:paraId="17EA55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歌颂边区的“三三制”原则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展现解放区土地改革的成效</w:t>
      </w:r>
    </w:p>
    <w:p w14:paraId="719BAC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1944年，美国驻华外交官向美国政府报告，延安“经济情况有显著进步，人民以独立自发之传统，耕种其田地。鼓励私人投资，提高生活水准，减低赋税。比之国民党地区，高下至明，无待赘言”。这表明（   ）</w:t>
      </w:r>
    </w:p>
    <w:p w14:paraId="6D96F9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抗日民主根据地的建设取得成效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国统区已经形成了第二条战线</w:t>
      </w:r>
    </w:p>
    <w:p w14:paraId="1103A6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美国准备加入世界反法西斯同盟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党的工作重心由乡村转到城市</w:t>
      </w:r>
    </w:p>
    <w:p w14:paraId="5ACA3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下表为北京市城市规划对城市功能的定位。由此可知（   ）</w:t>
      </w:r>
    </w:p>
    <w:tbl>
      <w:tblPr>
        <w:tblStyle w:val="4"/>
        <w:tblW w:w="7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00"/>
        <w:gridCol w:w="6690"/>
      </w:tblGrid>
      <w:tr w14:paraId="1821C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A32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1953年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643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我国政治、经济和文化的中心，强大工业基地和技术科学的中心</w:t>
            </w:r>
          </w:p>
        </w:tc>
      </w:tr>
      <w:tr w14:paraId="5435C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8B0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1993年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D2E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全国的政治中心和文化中心，世界著名的古都和现代国际城市</w:t>
            </w:r>
          </w:p>
        </w:tc>
      </w:tr>
      <w:tr w14:paraId="5FFDE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418B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2016年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307E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全国政治中心、文化中心、国际交往中心、科技创新中心</w:t>
            </w:r>
          </w:p>
        </w:tc>
      </w:tr>
    </w:tbl>
    <w:p w14:paraId="406AC7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①北京城市功能因城市的扩建而扩大</w:t>
      </w:r>
    </w:p>
    <w:p w14:paraId="120761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②首都地位决定了北京城市战略定位</w:t>
      </w:r>
    </w:p>
    <w:p w14:paraId="4351F8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③北京不再承担经济引领的重要职能</w:t>
      </w:r>
    </w:p>
    <w:p w14:paraId="0F8F05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④北京的国际影响力日益广泛和重要</w:t>
      </w:r>
    </w:p>
    <w:p w14:paraId="5F3A89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52E61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2007年，中国外交部领事司领事保护处升格为领事保护中心，负责海外公民、机构安全和合法权益保护工作的政策指导和统筹协调。2014年，外交部开通全球领事保护与服务应急热线，全天候、零时差、无障碍地向海外中国公民提供领事保护与咨询服务。这些举措（   ）</w:t>
      </w:r>
    </w:p>
    <w:p w14:paraId="2BBC9A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①保障了经济技术开发区的建设</w:t>
      </w:r>
    </w:p>
    <w:p w14:paraId="7560CB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②建立起了总体稳定的大国关系框架</w:t>
      </w:r>
    </w:p>
    <w:p w14:paraId="7D844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③坚持了以人民为中心的发展思想</w:t>
      </w:r>
    </w:p>
    <w:p w14:paraId="31FA46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④推进了国家治理体系和治理能力现代化</w:t>
      </w:r>
    </w:p>
    <w:p w14:paraId="09EADD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182A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公元前3世纪，托勒密王朝的国王在亚历山大城修建了缪斯宫、图书馆、动植物园等。动物园里有许多外来的动物，包括阿拉伯绵羊、印度大象、巴克特里亚骆驼、叙利亚棕熊、希腊白熊、黎凡特狮子等。这些举措（   ）</w:t>
      </w:r>
    </w:p>
    <w:p w14:paraId="7F7E1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①有助于托勒密王国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科学研究  ②推动了亚历山大帝国的建立</w:t>
      </w:r>
    </w:p>
    <w:p w14:paraId="377DB7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③印证了希腊化时代的文化交流  ④加速了亚欧游牧民族大迁徙</w:t>
      </w:r>
    </w:p>
    <w:p w14:paraId="1A320C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3EB711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1290年，英王爱德华一世颁布《土地买卖法令》，禁止以再分封的方式转让土地，规定自由人持有的土地买卖自由，但购地者要承担土地附着的原有封建义务。这一法令（   ）</w:t>
      </w:r>
    </w:p>
    <w:p w14:paraId="0283C4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①意在保护封建领主利益  ②加重了农奴的经济负担</w:t>
      </w:r>
    </w:p>
    <w:p w14:paraId="277FAE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③冲击了英国的封建制度  ④奠定了民族国家的基础</w:t>
      </w:r>
    </w:p>
    <w:p w14:paraId="68D502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13AE7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1822年，研究古埃及语言文字、历史、艺术等内容的埃及学诞生于法国。1869年，埃及本土学者倡议创办了古埃及语学校。几年后，因时任埃及文物局局长的法国人马里耶特打压，学校被迫关闭。1910年，埃及本土学者推动教育部在高校设立了埃及学部，后来又受到法国把持的文物局打压而撤销。由此可见，埃及学（   ）</w:t>
      </w:r>
    </w:p>
    <w:p w14:paraId="7FD86A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①促进欧洲文化的重构  ②客观上利于埃及民族意识觉醒</w:t>
      </w:r>
    </w:p>
    <w:p w14:paraId="750F4C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③在本土发展举步维艰  ④导致西方主导的殖民体系崩溃</w:t>
      </w:r>
    </w:p>
    <w:p w14:paraId="009893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4CB13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1971年，苏联科学院与美国科学院联合召开学术会议并达成共识，建造新的太空装备，探索地外文明存在的可能性。1975年，两国宇航员在太空开展“阿波罗号”与“联盟号”飞船的兼容性实验，并进行了太空救援演练。这表明当时（   ）</w:t>
      </w:r>
    </w:p>
    <w:p w14:paraId="53B4FB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美苏在科技领域建立起同盟关系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美国暂时放弃“战略防御计划”</w:t>
      </w:r>
    </w:p>
    <w:p w14:paraId="6E7B97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美苏太空合作宣告军备竞赛结束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冷战并未阻断美苏的科技合作</w:t>
      </w:r>
    </w:p>
    <w:p w14:paraId="49FAD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结合所学，对如图理解正确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356AB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29100" cy="1981200"/>
            <wp:effectExtent l="0" t="0" r="7620" b="0"/>
            <wp:docPr id="100007" name="图片 100007" descr="学科网(www.zxxk.com)--教育资源门户，提供试卷、教案、课件、论文、素材以及各类教学资源下载，还有大量而丰富的教学相关资讯！ DgmVr84Ae8L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gmVr84Ae8LNAx1ODbqMbQ==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05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           发达国家在全球商品出口额所占比例（%）</w:t>
      </w:r>
    </w:p>
    <w:p w14:paraId="465D54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①发达国家忽视科技产业创新  ②新兴经济体制造业迅速发展</w:t>
      </w:r>
    </w:p>
    <w:p w14:paraId="1CFDD5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③发达国家部分产业向外转移  ④经济全球化的进程受到阻碍</w:t>
      </w:r>
    </w:p>
    <w:p w14:paraId="5FF925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02543A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  本部分共5题，共55分。</w:t>
      </w:r>
    </w:p>
    <w:p w14:paraId="5F5B4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舌尖上的历史</w:t>
      </w:r>
    </w:p>
    <w:p w14:paraId="4FE493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宋时期，北方人以粟、麦为主食，“南人罕作面饵”。京师（今开封）既有北食，又有南食、川饭店，“以备南人不服北食者”。起初京师人“未尝食蚬蛤”“以为珍馔”，而后“士人稍稍食之，蚬蛤亦随而增盛”，酒肆的菜肴有炒蛤蜊、炒蟹等。</w:t>
      </w:r>
    </w:p>
    <w:p w14:paraId="163690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宋时，北方“流寓之人”遍布南方各地。南方大量种植小麦，规模“不减淮北”；“饮食混淆，无南、北之分”。在临安，“食店多是效学京师（今开封）人”；有百姓“世以鬻海蛳为业”，酒肆常备有“生蚶子”“蚶子辣羹”等小菜。近年杭州南宋德寿宫遗址还出土了长途贩运而来的海鲜遗存，如中华拟蟹守螺等。金朝在招待南宋使者时，宴饮既有燥子粉、肉油饼等汉人食物，也有肉山等女真传统美食。</w:t>
      </w:r>
    </w:p>
    <w:p w14:paraId="1E3385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到了元代，“西域之仕于中朝，学于南夏，乐江湖而忘乡国者众矣”；世人“无此疆彼界”之分。当时的生活百科书籍，既存录了中原和江南食物，如水滑面、馄饨、馒头、烧饼、包子等，又有女真挞不剌鸭子、女真肉羊麋、高丽粟糕、回回酸汤、回回卷煎饼等。</w:t>
      </w:r>
    </w:p>
    <w:p w14:paraId="48596B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宋元时期饮食文化有哪些变化？依据材料加以概括。</w:t>
      </w:r>
    </w:p>
    <w:p w14:paraId="6298A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结合所学，分析上述变化的历史背景。</w:t>
      </w:r>
    </w:p>
    <w:p w14:paraId="22A24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点评AI（人工智能）</w:t>
      </w:r>
    </w:p>
    <w:p w14:paraId="1CD2D12A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1903</w:t>
      </w:r>
      <w:r>
        <w:rPr>
          <w:rFonts w:ascii="楷体" w:hAnsi="楷体" w:eastAsia="楷体" w:cs="楷体"/>
          <w:color w:val="000000"/>
        </w:rPr>
        <w:t>年江西乡试有一道考题如下：</w:t>
      </w:r>
    </w:p>
    <w:p w14:paraId="53ACFC70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保商之法，阻来货、奖外输，务令出口之货常多于进口。乃征诸英吉利自行平税之政，而商务大兴，其进出之差为负，而商利自厚，其故何欤？然则塞漏卮之说，果非计欤？试权其利害，以维商政策。</w:t>
      </w:r>
    </w:p>
    <w:p w14:paraId="0851E67D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某AI平台作答：这道</w:t>
      </w:r>
      <w:r>
        <w:rPr>
          <w:rFonts w:ascii="Times New Roman" w:hAnsi="Times New Roman" w:eastAsia="Times New Roman" w:cs="Times New Roman"/>
          <w:color w:val="000000"/>
        </w:rPr>
        <w:t>1903</w:t>
      </w:r>
      <w:r>
        <w:rPr>
          <w:rFonts w:ascii="楷体" w:hAnsi="楷体" w:eastAsia="楷体" w:cs="楷体"/>
          <w:color w:val="000000"/>
        </w:rPr>
        <w:t>年乡试题反映了晚清面对西方经济冲击的探索。英国通过“平税”（自由贸易）实现商业繁荣，本质是以工业革命技术优势为基础，用开放倒逼产业升级，形成出口&gt;进口的良性循环。而中国“阻来货、奖外输”的保商政策，因缺乏现代工业支撑，仅靠限制进口追求顺差，反而抑制本土产业竞争力（如土布难敌洋布），导致“塞漏卮”沦为被动防御。考题揭示经济政策需匹配生产力水平：英国以实力换优势，中国则陷入“管制依赖”。它体现了晚清知识分子对传统经济治理的反思，试图借鉴西方经验推动“商战自强”，但受限于体制僵化与工业基础薄弱，终未能突破“中体西用”框架，成为近代化转型困境的缩影。</w:t>
      </w:r>
    </w:p>
    <w:p w14:paraId="4A7096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结合所学，对AI的作答加以点评。</w:t>
      </w:r>
    </w:p>
    <w:p w14:paraId="34666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探索与发现</w:t>
      </w:r>
    </w:p>
    <w:p w14:paraId="19583B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7380"/>
      </w:tblGrid>
      <w:tr w14:paraId="0FE54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D60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年份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402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作者、作品及主要内容</w:t>
            </w:r>
          </w:p>
        </w:tc>
      </w:tr>
      <w:tr w14:paraId="0EC81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606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1545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84E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卡蒂埃出版《两次新法兰西航行与发现记略》，记载了他在今属加拿大的纽芬兰岛、圣劳伦斯湾、魁北克等地航行的经过及发现</w:t>
            </w:r>
          </w:p>
        </w:tc>
      </w:tr>
      <w:tr w14:paraId="182E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D0B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1563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6A6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加尔维奥的《世界的发现》出版，介绍了迪亚士、哥伦布、达·伽马、麦哲伦等航海家的发现</w:t>
            </w:r>
          </w:p>
        </w:tc>
      </w:tr>
      <w:tr w14:paraId="3DCA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9525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1855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8F4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华莱士发表《论控制新物种发生的规律》，利用其考察发现，研究生物演化的规律。他提出，地理地貌及生命体的地理分布是多次变化的结果，新物种的诞生与预先存在的关联物种密切相关</w:t>
            </w:r>
          </w:p>
        </w:tc>
      </w:tr>
      <w:tr w14:paraId="459E7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ACE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1859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9BDB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达尔文出版《物种起源》，以其在南美海岸航行考察的自然地理、动植物及人种等发现为基础，系统论证了物种的起源与进化理论</w:t>
            </w:r>
          </w:p>
        </w:tc>
      </w:tr>
      <w:tr w14:paraId="1DC39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3018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1861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0A61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梅因出版《古代法》，提出人类社会形态最初是父系社会，由专制族长统治，家庭是社会基本单位</w:t>
            </w:r>
          </w:p>
        </w:tc>
      </w:tr>
      <w:tr w14:paraId="1E03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F01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1861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70E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巴霍芬出版《母权论》，提出人类社会形态最初不是父系社会，而是母系社会</w:t>
            </w:r>
          </w:p>
        </w:tc>
      </w:tr>
      <w:tr w14:paraId="0857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C9B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1877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E10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摩尔根出版《古代社会》，结合对印第安部落的实地考察，提出人类历史的起源相同，经验相同，进步相同；生存技术决定婚姻家庭、政治制度和财产观念等；人类经历蒙昧、野蛮、文明三个阶段，从血缘氏族发展到国家</w:t>
            </w:r>
          </w:p>
        </w:tc>
      </w:tr>
      <w:tr w14:paraId="08CB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9A9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1884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E14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恩格斯出版《家庭、私有制和国家的起源》，以马克思对摩尔根的研究笔记为基础，系统阐述了原始社会的历史；提出家庭、私有制和国家等不是从来就有的，是生产力发展的结果。随着生产力的发展，私有制和国家必将消亡</w:t>
            </w:r>
          </w:p>
        </w:tc>
      </w:tr>
    </w:tbl>
    <w:p w14:paraId="034D84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一切重要历史事件的终极原因和伟大动力是社会的经济发展，是生产方式和交换方式的改变，是由此产生的社会之划分为不同的阶级，是这些阶级彼此之间的斗争。</w:t>
      </w:r>
    </w:p>
    <w:p w14:paraId="71B6A62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——恩格斯《社会主义从空想到科学的发展》1892年英文版导言</w:t>
      </w:r>
    </w:p>
    <w:p w14:paraId="4DD81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归纳材料一中的探索与发现的内容。</w:t>
      </w:r>
    </w:p>
    <w:p w14:paraId="1FD07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从材料二中提取唯物史观的一个观点，简要说明其内涵，并运用外国历史重要史实加以阐释。</w:t>
      </w:r>
    </w:p>
    <w:p w14:paraId="7C3C7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区域·东亚</w:t>
      </w:r>
    </w:p>
    <w:p w14:paraId="478D83E0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韩国高中自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年开始实施东亚史教育，在其教科书中，将古代东亚确定为文化圈，这是与日本学者提出的“东亚世界论”相似的观点。东亚的文化要素包括了汉字、儒学、佛教、律令等。</w:t>
      </w:r>
    </w:p>
    <w:p w14:paraId="01C476AC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日本在明治维新之后，走上了“脱亚入欧”的道路。</w:t>
      </w:r>
      <w:r>
        <w:rPr>
          <w:rFonts w:ascii="Times New Roman" w:hAnsi="Times New Roman" w:eastAsia="Times New Roman" w:cs="Times New Roman"/>
          <w:color w:val="000000"/>
        </w:rPr>
        <w:t>1885</w:t>
      </w:r>
      <w:r>
        <w:rPr>
          <w:rFonts w:ascii="楷体" w:hAnsi="楷体" w:eastAsia="楷体" w:cs="楷体"/>
          <w:color w:val="000000"/>
        </w:rPr>
        <w:t>年，日本著名媒体《时事新报》上发表的《脱亚论》一文写道：“国中朝野无别，万事皆独采西洋近时之文明，不唯脱日本之旧套而已；在亚细亚全洲之中，新立一机轴，所以为主义者，唯在脱亚二字。为今日之谋，我国不可犹豫，以待邻国（指中国、朝鲜）之开明而共兴亚细亚；宁脱其伍，与西洋之文明国共进退。”</w:t>
      </w:r>
    </w:p>
    <w:p w14:paraId="77074915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中日韩三国共同编写的《东亚三国的近现代史》（</w:t>
      </w:r>
      <w:r>
        <w:rPr>
          <w:rFonts w:ascii="Times New Roman" w:hAnsi="Times New Roman" w:eastAsia="Times New Roman" w:cs="Times New Roman"/>
          <w:color w:val="000000"/>
        </w:rPr>
        <w:t>2005</w:t>
      </w:r>
      <w:r>
        <w:rPr>
          <w:rFonts w:ascii="楷体" w:hAnsi="楷体" w:eastAsia="楷体" w:cs="楷体"/>
          <w:color w:val="000000"/>
        </w:rPr>
        <w:t>年）中写道：“东亚有悠久的友好交流的传统，出现过许多为了光明的未来而跨越国境努力的人们。我们应当继承过去时代的积极面，而彻底反省以前的错误。应当在我们美丽的地球上建设更加和平与光明的未来。为了和平与发展，我们通过学习东亚的历史能够得到什么样的经验与教训？”</w:t>
      </w:r>
    </w:p>
    <w:p w14:paraId="731348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2024年5月《第九次中日韩领导人会议联合宣言》指出：“文化是连接三国人民的桥梁。”阅读上述材料，从历史变迁的角度，谈谈对这句话的理解。</w:t>
      </w:r>
    </w:p>
    <w:p w14:paraId="2C259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从急递到快递</w:t>
      </w:r>
    </w:p>
    <w:p w14:paraId="4BA23AE2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急递铺是中国古代政府信息传递机构，又有急脚递、斥堠铺、摆铺之称。宋朝战事频繁，以之“递军书与他文书之最急者”。金朝规定“非军期、河防”不用急递。元朝规定，急递铺“以达四方文书之往来，其所系至重”，不得夹带私货。明朝急递铺“接送公文”，铺兵“昼夜须行三百里，稽留三刻笞二十”。清末铁路出现，“各省已设有电报，各处亦已畅行轮船”，依赖人力、畜力的急递铺、驿站等走向衰落。</w:t>
      </w:r>
    </w:p>
    <w:p w14:paraId="4D77AEC3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我国经营快递业务的国营、民营企业由邮政管理部门监督管理。“情系万家，信达天下”“人民邮政为人民”等是企业经营的重要理念。据统计，</w:t>
      </w:r>
      <w:r>
        <w:rPr>
          <w:rFonts w:ascii="Times New Roman" w:hAnsi="Times New Roman" w:eastAsia="Times New Roman" w:cs="Times New Roman"/>
          <w:color w:val="000000"/>
        </w:rPr>
        <w:t>2006</w:t>
      </w:r>
      <w:r>
        <w:rPr>
          <w:rFonts w:ascii="楷体" w:hAnsi="楷体" w:eastAsia="楷体" w:cs="楷体"/>
          <w:color w:val="000000"/>
        </w:rPr>
        <w:t>年中国快递企业业务量为</w:t>
      </w:r>
      <w:r>
        <w:rPr>
          <w:rFonts w:ascii="Times New Roman" w:hAnsi="Times New Roman" w:eastAsia="Times New Roman" w:cs="Times New Roman"/>
          <w:color w:val="000000"/>
        </w:rPr>
        <w:t>10.6</w:t>
      </w:r>
      <w:r>
        <w:rPr>
          <w:rFonts w:ascii="楷体" w:hAnsi="楷体" w:eastAsia="楷体" w:cs="楷体"/>
          <w:color w:val="000000"/>
        </w:rPr>
        <w:t>亿件，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年增至</w:t>
      </w:r>
      <w:r>
        <w:rPr>
          <w:rFonts w:ascii="Times New Roman" w:hAnsi="Times New Roman" w:eastAsia="Times New Roman" w:cs="Times New Roman"/>
          <w:color w:val="000000"/>
        </w:rPr>
        <w:t>56.9</w:t>
      </w:r>
      <w:r>
        <w:rPr>
          <w:rFonts w:ascii="楷体" w:hAnsi="楷体" w:eastAsia="楷体" w:cs="楷体"/>
          <w:color w:val="000000"/>
        </w:rPr>
        <w:t>亿件，到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年达</w:t>
      </w:r>
      <w:r>
        <w:rPr>
          <w:rFonts w:ascii="Times New Roman" w:hAnsi="Times New Roman" w:eastAsia="Times New Roman" w:cs="Times New Roman"/>
          <w:color w:val="000000"/>
        </w:rPr>
        <w:t>1083</w:t>
      </w:r>
      <w:r>
        <w:rPr>
          <w:rFonts w:ascii="楷体" w:hAnsi="楷体" w:eastAsia="楷体" w:cs="楷体"/>
          <w:color w:val="000000"/>
        </w:rPr>
        <w:t>亿件。</w:t>
      </w:r>
    </w:p>
    <w:p w14:paraId="3E1AB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结合上述材料，说明急递与快递的区别。</w:t>
      </w:r>
    </w:p>
    <w:p w14:paraId="07E4C8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依据材料二，指出中国快递业务量的发展趋势并分析其原因。</w:t>
      </w:r>
    </w:p>
    <w:p w14:paraId="2B957EA4">
      <w:pPr>
        <w:spacing w:line="360" w:lineRule="auto"/>
        <w:jc w:val="left"/>
        <w:textAlignment w:val="center"/>
        <w:rPr>
          <w:rFonts w:hint="eastAsia" w:eastAsia="宋体"/>
          <w:color w:val="000000"/>
          <w:lang w:eastAsia="zh-CN"/>
        </w:rPr>
      </w:pPr>
    </w:p>
    <w:p w14:paraId="759C8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page"/>
      </w:r>
    </w:p>
    <w:p w14:paraId="6BAAEF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北京市2025年普通高中学业水平等级性考试</w:t>
      </w:r>
    </w:p>
    <w:p w14:paraId="5586FDE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历史</w:t>
      </w:r>
    </w:p>
    <w:p w14:paraId="441D12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本试卷共8页，100分。考试时长90分钟。考生务必将答案答在答题卡上，在试卷上作答无效。考试结束后，将本试卷和答题卡一并交回。</w:t>
      </w:r>
    </w:p>
    <w:p w14:paraId="73071CD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第一部分</w:t>
      </w:r>
    </w:p>
    <w:p w14:paraId="546BE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本部分共15题，每题3分，共45分。在每题列出的四个选项中，选出最符合题目要求的一项。</w:t>
      </w:r>
    </w:p>
    <w:p w14:paraId="40E994DB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 w14:paraId="4A11C3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C3FC98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 w14:paraId="71CAA9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C61AA2D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 w14:paraId="118885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9B8454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 w14:paraId="4C6991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39624C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 w14:paraId="720AC8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5A9387B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 w14:paraId="7429E4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B46E96F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 w14:paraId="4EAD2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F78E37D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 w14:paraId="6F92C4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975C21A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 w14:paraId="38F6DF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E3E3DEB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 w14:paraId="0E9458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6A6C096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 w14:paraId="33F551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C03790B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 w14:paraId="76D90A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1753975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 w14:paraId="6F9CEB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33F7420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 w14:paraId="6755CC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7D342BF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 w14:paraId="6AFF53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E3B02E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  本部分共5题，共55分。</w:t>
      </w:r>
    </w:p>
    <w:p w14:paraId="6E96E7E3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 w14:paraId="4C7A6A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变化：南北饮食融合：北宋京师南北食店并存，南宋南方小麦种植规模扩大，饮食界限消解；民族饮食交融：金、元时期汉族与女真、回回等民族饮食同席，形成多元饮食体系；食材与菜式拓展：海鲜等南方食材北传，北方面食南下，菜肴种类因地域交流而丰富。饮食文化传播：临安效仿开封食店，元代百科书籍收录多民族饮食，推动文化认同。    </w:t>
      </w:r>
    </w:p>
    <w:p w14:paraId="22AEAC3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历史背景：政治格局变动：两宋之际北方人口南迁，元代大一统促进民族迁徙与聚居。经济发展推动：宋代商品经济繁荣，城市餐饮业兴盛；元代交通发达，长途贩运促进食材流通。民族交流加强：政权并立与民族杂居加速文化渗透。</w:t>
      </w:r>
    </w:p>
    <w:p w14:paraId="51A6BB8D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 w14:paraId="7D1419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优点：对比分析到位：指出英国凭工业革命优势推行自由贸易，形成良性循环；中国因工业薄弱，单纯限制进口难以奏效，点明政策与生产力匹配的重要性。思想与时代结合：关联 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商战自强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 xml:space="preserve"> 思潮，指出考题反映晚清对传统经济政策的反思，受制于 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中体西用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 xml:space="preserve"> 框架，未能突破体制与工业瓶颈。不足：未提不平等条约对中国关税自主权的限制（如协定关税），导致政策失败原因分析不全面。英国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贸易逆差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表述需明确：实为高附加值出口与低附加值进口的利润差，非单纯逆差。 可补充具体案例（如上海机器织布局失败），增强说服力。总之，AI 核心逻辑正确，但若结合不平等条约影响、细化贸易模式及补充案例，分析会更精准。</w:t>
      </w:r>
    </w:p>
    <w:p w14:paraId="31E40D71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 w14:paraId="42487F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（1）内容：地理探索与新航路开辟；生物演化研究；人类社会形态探索。    </w:t>
      </w:r>
    </w:p>
    <w:p w14:paraId="7001E5E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（2）观点：生产力发展是社会变革的终极动力。 </w:t>
      </w:r>
    </w:p>
    <w:p w14:paraId="2CECF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内涵：社会经济发展、生产方式变革决定阶级关系与社会结构变化。</w:t>
      </w:r>
    </w:p>
    <w:p w14:paraId="7F962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史实阐释：新航路开辟后，欧洲商品经济发展与资本主义萌芽推动殖民扩张，封建庄园经济瓦解，新兴资产阶级崛起，引发文艺复兴、宗教改革等社会变革，最终促使封建制度向资本主义制度转型，体现生产力对生产关系和社会形态的决定作用。</w:t>
      </w:r>
    </w:p>
    <w:p w14:paraId="658143A9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 w14:paraId="4978D6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理解：古代：以汉字、儒学为核心的东亚文化圈形成，遣唐使、佛教传播等构建起文明互鉴纽带，如日本借鉴唐律、朝鲜推行汉制，形成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和而不同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的文化共同体。</w:t>
      </w:r>
    </w:p>
    <w:p w14:paraId="18F88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近代：日本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脱亚入欧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 xml:space="preserve">及殖民扩张导致文化认同断裂，《脱亚论》否定东亚传统，殖民政策压制汉字文化，区域纽带濒临瓦解。 </w:t>
      </w:r>
    </w:p>
    <w:p w14:paraId="66645C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当代：三国通过共同编写历史教科书、举办文化交流年等重建联系，2024年联合宣言以文化为媒介，推动从历史反思到民间互动的和解，虽存挑战，但文化正成为跨越政治隔阂的精神纽带。</w:t>
      </w:r>
    </w:p>
    <w:p w14:paraId="72A265B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 w14:paraId="70BD3A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区别：性质与服务主体不同：急递：古代政府专属的官方信息传递机构，服务于军事、政务等国家事务；快递：现代市场化的物流服务行业，由国营、民营企业运营，面向社会公众和商业需求；传递内容与目的不同：急递：以传递紧急文书为主，侧重政治与军事信息的时效性。快递：涵盖货物、文件等各类物品，以满足商业交易、个人需求为核心，注重物流效率与服务体验；动力与技术支撑不同：急递：依赖人力、畜力，运输速度受限于传统交通方式。快递：依托现代交通网络和信息技术，实现全球化、智能化配送。管理模式不同：急递：政府直接管控，有严格的行政惩戒制度，禁止夹带私货。快递：由邮政管理部门监管，企业自主经营，以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服务大众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 xml:space="preserve"> 为理念，市场化运作。    </w:t>
      </w:r>
    </w:p>
    <w:p w14:paraId="0CF1C2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趋势：持续高速增长。原因：中国经济快速发展，居民消费水平提升，网购需求激增；信息技术和交通网络的完善，提升快递效率与覆盖范围；政府出台政策优化行业环境，国营与民营企业竞争推动服务创新；电商直播、生鲜冷链、跨境物流等新业态兴起，拓展快递业务场景。</w:t>
      </w:r>
    </w:p>
    <w:p w14:paraId="46CD8C29">
      <w:pPr>
        <w:spacing w:line="360" w:lineRule="auto"/>
        <w:jc w:val="left"/>
        <w:textAlignment w:val="center"/>
        <w:rPr>
          <w:rFonts w:hint="eastAsia" w:eastAsia="宋体"/>
          <w:color w:val="000000"/>
          <w:lang w:eastAsia="zh-CN"/>
        </w:rPr>
      </w:pPr>
    </w:p>
    <w:p w14:paraId="382E3566">
      <w:pPr>
        <w:spacing w:line="360" w:lineRule="auto"/>
        <w:jc w:val="left"/>
        <w:textAlignment w:val="center"/>
        <w:rPr>
          <w:rFonts w:hint="eastAsia" w:eastAsia="宋体"/>
          <w:color w:val="000000"/>
          <w:lang w:eastAsia="zh-CN"/>
        </w:rPr>
      </w:pPr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88172B"/>
    <w:rsid w:val="35A64356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6532</Words>
  <Characters>6760</Characters>
  <Lines>0</Lines>
  <Paragraphs>0</Paragraphs>
  <TotalTime>6</TotalTime>
  <ScaleCrop>false</ScaleCrop>
  <LinksUpToDate>false</LinksUpToDate>
  <CharactersWithSpaces>7003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2025-06-23T10:30:00Z</dcterms:created>
  <dc:creator>古瑞</dc:creator>
  <cp:lastModifiedBy>古瑞</cp:lastModifiedBy>
  <dcterms:modified xsi:type="dcterms:W3CDTF">2025-06-27T01:16:08Z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46C67EB39C1340339D995AC8F8F6C94B_12</vt:lpwstr>
  </property>
  <property fmtid="{D5CDD505-2E9C-101B-9397-08002B2CF9AE}" pid="3" name="KSOTemplateDocerSaveRecord">
    <vt:lpwstr>eyJoZGlkIjoiZDdhMDhmMzE2ZWMzNTIyZjFlZmFjODMzZTUxMzZmMTQiLCJ1c2VySWQiOiIxMjA2NDUzMTkzIn0=</vt:lpwstr>
  </property>
  <property fmtid="{D5CDD505-2E9C-101B-9397-08002B2CF9AE}" pid="4" name="KSOProductBuildVer">
    <vt:lpwstr>2052-12.1.0.21915</vt:lpwstr>
  </property>
</Properties>
</file>