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pPr>
        <w:pStyle w:val="subTitleStyle"/>
        <w:spacing w:after="100" w:afterAutospacing="0"/>
        <w:jc w:val="center"/>
      </w:pPr>
      <w:r>
        <w:t>2025年普通高中学业水平选择性考试（重庆卷）历史试题</w:t>
      </w:r>
    </w:p>
    <w:p>
      <w:pPr>
        <w:pStyle w:val="Normal54c7adfc-a473-4e13-b137-e39796456f64"/>
      </w:pPr>
    </w:p>
    <w:p>
      <w:pPr>
        <w:pStyle w:val="paraStyle"/>
        <w:spacing w:before="200" w:beforeAutospacing="0" w:after="200" w:afterAutospacing="0"/>
      </w:pPr>
      <w:r>
        <w:t>一、单选题</w:t>
      </w:r>
    </w:p>
    <w:p>
      <w:pPr>
        <w:pStyle w:val="Normal54c7adfc-a473-4e13-b137-e39796456f64"/>
        <w:numPr>
          <w:ilvl w:val="0"/>
          <w:numId w:val="0"/>
        </w:numPr>
        <w:spacing w:line="320" w:lineRule="auto"/>
        <w:ind w:left="20"/>
        <w:jc w:val="left"/>
        <w:textAlignment w:val="cente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秦始皇统一六国后多次巡行天下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考察多地风情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往往刻石记功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如琅琊石刻载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上农除末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黔首是富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尊卑贵贱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不逾次行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以明人事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合同父子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顾炎武指出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秦之任刑虽过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而其访民正俗之意固未始异于三王也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这表明秦朝</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54c7adfc-a473-4e13-b137-e39796456f64"/>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重建西周等级制度</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重视整顿社会风俗</w:t>
      </w:r>
    </w:p>
    <w:p>
      <w:pPr>
        <w:pStyle w:val="Normal54c7adfc-a473-4e13-b137-e39796456f64"/>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确立儒家意识形态</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首创重农抑商政策</w:t>
      </w:r>
    </w:p>
    <w:p>
      <w:pPr>
        <w:pStyle w:val="Normal54c7adfc-a473-4e13-b137-e39796456f64"/>
        <w:numPr>
          <w:ilvl w:val="0"/>
          <w:numId w:val="0"/>
        </w:numPr>
        <w:spacing w:line="320" w:lineRule="auto"/>
        <w:ind w:left="20"/>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南朝乐府民歌分为以建康为中心的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吴歌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和以江陵为中心的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两类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有些诗歌以城市为歌名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江陵乐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襄阳乐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多描写女子送别商人远行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有些诗歌直接以商人为歌名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估客乐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贾客词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这反映出南朝</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54c7adfc-a473-4e13-b137-e39796456f64"/>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城市商业贸易的发展</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礼乐制度文明的先进</w:t>
      </w:r>
      <w:r>
        <w:rPr>
          <w:rFonts w:ascii="Times New Roman" w:eastAsia="Times New Roman" w:hAnsi="Times New Roman" w:cs="Times New Roman"/>
          <w:color w:val="000000"/>
          <w:sz w:val="21"/>
          <w:shd w:val="clear" w:color="auto" w:fill="auto"/>
          <w:vertAlign w:val="baseline"/>
        </w:rPr>
        <w:tab/>
      </w:r>
    </w:p>
    <w:p>
      <w:pPr>
        <w:pStyle w:val="Normal54c7adfc-a473-4e13-b137-e39796456f64"/>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商人政治地位的提高</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文学艺术体裁的创新</w:t>
      </w:r>
    </w:p>
    <w:p>
      <w:pPr>
        <w:pStyle w:val="Normal54c7adfc-a473-4e13-b137-e39796456f64"/>
        <w:numPr>
          <w:ilvl w:val="0"/>
          <w:numId w:val="0"/>
        </w:numPr>
        <w:spacing w:line="320" w:lineRule="auto"/>
        <w:ind w:left="20"/>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唐文宗</w:t>
      </w:r>
      <w:r>
        <w:rPr>
          <w:rFonts w:ascii="Times New Roman" w:eastAsia="Times New Roman" w:hAnsi="Times New Roman" w:cs="Times New Roman"/>
          <w:color w:val="000000"/>
          <w:sz w:val="21"/>
          <w:shd w:val="clear" w:color="auto" w:fill="auto"/>
          <w:vertAlign w:val="baseline"/>
        </w:rPr>
        <w:t>（827-840</w:t>
      </w:r>
      <w:r>
        <w:rPr>
          <w:rFonts w:ascii="宋体" w:eastAsia="宋体" w:hAnsi="宋体" w:cs="宋体"/>
          <w:color w:val="000000"/>
          <w:sz w:val="21"/>
          <w:shd w:val="clear" w:color="auto" w:fill="auto"/>
          <w:vertAlign w:val="baseline"/>
        </w:rPr>
        <w:t>年在位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任命魏征五世孙魏謩为谏官时说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每览国史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未尝不沉吟伸卷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嘉尚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魏征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久之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尔为拾遗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其风不坠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屡献章疏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必道其所以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吾岂不能虚怀延纳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仰希贞观之理欤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唐文宗旨在</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54c7adfc-a473-4e13-b137-e39796456f64"/>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表扬魏征的功绩</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效仿太宗以求治世</w:t>
      </w:r>
      <w:r>
        <w:rPr>
          <w:rFonts w:ascii="Times New Roman" w:eastAsia="Times New Roman" w:hAnsi="Times New Roman" w:cs="Times New Roman"/>
          <w:color w:val="000000"/>
          <w:sz w:val="21"/>
          <w:shd w:val="clear" w:color="auto" w:fill="auto"/>
          <w:vertAlign w:val="baseline"/>
        </w:rPr>
        <w:tab/>
      </w:r>
    </w:p>
    <w:p>
      <w:pPr>
        <w:pStyle w:val="Normal54c7adfc-a473-4e13-b137-e39796456f64"/>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肯定魏謩的谏言</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彰显自己知人善任</w:t>
      </w:r>
    </w:p>
    <w:p>
      <w:pPr>
        <w:pStyle w:val="Normal54c7adfc-a473-4e13-b137-e39796456f64"/>
        <w:numPr>
          <w:ilvl w:val="0"/>
          <w:numId w:val="0"/>
        </w:numPr>
        <w:spacing w:line="320" w:lineRule="auto"/>
        <w:ind w:left="20"/>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金灭辽后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东北地区有不少由契丹人组成的猛安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谋克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金世宗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诏罢契丹猛安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谋克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其户分隶女真猛安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谋克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后来又迁徙西北路的契丹人到上京等路安顿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彼地土肥绕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可以生殖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与女真人相与婚姻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这些政策主要是为了</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54c7adfc-a473-4e13-b137-e39796456f64"/>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改革猛安谋克制度</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鼓励契丹人口增长</w:t>
      </w:r>
      <w:r>
        <w:rPr>
          <w:rFonts w:ascii="Times New Roman" w:eastAsia="Times New Roman" w:hAnsi="Times New Roman" w:cs="Times New Roman"/>
          <w:color w:val="000000"/>
          <w:sz w:val="21"/>
          <w:shd w:val="clear" w:color="auto" w:fill="auto"/>
          <w:vertAlign w:val="baseline"/>
        </w:rPr>
        <w:tab/>
      </w:r>
    </w:p>
    <w:p>
      <w:pPr>
        <w:pStyle w:val="Normal54c7adfc-a473-4e13-b137-e39796456f64"/>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发展东北地区经济</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促成契丹融入女真</w:t>
      </w:r>
    </w:p>
    <w:p>
      <w:pPr>
        <w:pStyle w:val="Normal54c7adfc-a473-4e13-b137-e39796456f6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1521</w:t>
      </w:r>
      <w:r>
        <w:rPr>
          <w:rFonts w:ascii="宋体" w:eastAsia="宋体" w:hAnsi="宋体" w:cs="宋体"/>
          <w:color w:val="000000"/>
          <w:sz w:val="21"/>
          <w:shd w:val="clear" w:color="auto" w:fill="auto"/>
          <w:vertAlign w:val="baseline"/>
        </w:rPr>
        <w:t>年嘉靖帝以藩王身份即位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欲尊其生父兴献王为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皇考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内阁首辅杨延和率朝臣反对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因事关国家礼制根本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遂令朝臣廷议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双方坚持不下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尚在礼部观政的张璁亦上疏言此事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嘉靖帝大喜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亟下廷臣议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结果仍不能使他满意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三年后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皇帝的支持者增多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复下廷议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未果后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自排廷议定大礼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可见当时</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54c7adfc-a473-4e13-b137-e39796456f64"/>
        <w:numPr>
          <w:ilvl w:val="0"/>
          <w:numId w:val="3"/>
        </w:numPr>
        <w:tabs>
          <w:tab w:val="left" w:pos="2078"/>
          <w:tab w:val="left" w:pos="4156"/>
          <w:tab w:val="left" w:pos="6234"/>
        </w:tabs>
        <w:spacing w:line="320" w:lineRule="auto"/>
        <w:ind w:left="300"/>
        <w:jc w:val="left"/>
        <w:textAlignment w:val="center"/>
        <w:rPr>
          <w:sz w:val="21"/>
        </w:rPr>
      </w:pPr>
      <w:r>
        <w:rPr>
          <w:rFonts w:ascii="宋体" w:eastAsia="宋体" w:hAnsi="宋体" w:cs="宋体"/>
          <w:color w:val="000000"/>
          <w:sz w:val="21"/>
          <w:shd w:val="clear" w:color="auto" w:fill="auto"/>
          <w:vertAlign w:val="baseline"/>
        </w:rPr>
        <w:t>中央决策机构相对规范</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封建礼制得以强化</w:t>
      </w:r>
    </w:p>
    <w:p>
      <w:pPr>
        <w:pStyle w:val="Normal54c7adfc-a473-4e13-b137-e39796456f64"/>
        <w:numPr>
          <w:numId w:val="0"/>
        </w:numPr>
        <w:tabs>
          <w:tab w:val="left" w:pos="2078"/>
          <w:tab w:val="left" w:pos="4156"/>
          <w:tab w:val="left" w:pos="6234"/>
        </w:tabs>
        <w:spacing w:line="320" w:lineRule="auto"/>
        <w:ind w:firstLine="210" w:firstLineChars="1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国家行政体系日臻完备</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内阁成为决策机构</w:t>
      </w:r>
    </w:p>
    <w:p>
      <w:pPr>
        <w:pStyle w:val="Normal54c7adfc-a473-4e13-b137-e39796456f6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6．</w:t>
      </w:r>
      <w:r>
        <w:rPr>
          <w:rFonts w:ascii="宋体" w:eastAsia="宋体" w:hAnsi="宋体" w:cs="宋体"/>
          <w:color w:val="000000"/>
          <w:sz w:val="21"/>
          <w:shd w:val="clear" w:color="auto" w:fill="auto"/>
          <w:vertAlign w:val="baseline"/>
        </w:rPr>
        <w:t>明末清初</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江南金山地区长青村发展成以织网业为主的渔具制造中心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男女无田可种者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皆习此业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且为利数倍于田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每见家有四壁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则数十人聚焉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自朝至暮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拮据不休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以织网而千金数百金者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比比然也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可见当时江南地区</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54c7adfc-a473-4e13-b137-e39796456f64"/>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传统自然经济已经瓦解</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开始形成工商业集镇</w:t>
      </w:r>
      <w:r>
        <w:rPr>
          <w:rFonts w:ascii="Times New Roman" w:eastAsia="Times New Roman" w:hAnsi="Times New Roman" w:cs="Times New Roman"/>
          <w:color w:val="000000"/>
          <w:sz w:val="21"/>
          <w:shd w:val="clear" w:color="auto" w:fill="auto"/>
          <w:vertAlign w:val="baseline"/>
        </w:rPr>
        <w:tab/>
      </w:r>
    </w:p>
    <w:p>
      <w:pPr>
        <w:pStyle w:val="Normal54c7adfc-a473-4e13-b137-e39796456f64"/>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渔业成为主要生产部门</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出现了新的经营方式</w:t>
      </w:r>
    </w:p>
    <w:p>
      <w:pPr>
        <w:pStyle w:val="Normal54c7adfc-a473-4e13-b137-e39796456f64"/>
        <w:numPr>
          <w:ilvl w:val="0"/>
          <w:numId w:val="0"/>
        </w:numPr>
        <w:spacing w:line="320" w:lineRule="auto"/>
        <w:ind w:left="20"/>
        <w:jc w:val="left"/>
        <w:textAlignment w:val="center"/>
        <w:rPr>
          <w:sz w:val="21"/>
        </w:rPr>
      </w:pPr>
      <w:r>
        <w:rPr>
          <w:rFonts w:ascii="Times New Roman" w:eastAsia="Times New Roman" w:hAnsi="Times New Roman" w:cs="Times New Roman"/>
          <w:color w:val="000000"/>
          <w:sz w:val="21"/>
          <w:shd w:val="clear" w:color="auto" w:fill="auto"/>
          <w:vertAlign w:val="baseline"/>
        </w:rPr>
        <w:t>7．</w:t>
      </w:r>
      <w:r>
        <w:rPr>
          <w:rFonts w:ascii="Times New Roman" w:eastAsia="Times New Roman" w:hAnsi="Times New Roman" w:cs="Times New Roman"/>
          <w:color w:val="000000"/>
          <w:sz w:val="21"/>
          <w:shd w:val="clear" w:color="auto" w:fill="auto"/>
          <w:vertAlign w:val="baseline"/>
        </w:rPr>
        <w:t>1905</w:t>
      </w:r>
      <w:r>
        <w:rPr>
          <w:rFonts w:ascii="宋体" w:eastAsia="宋体" w:hAnsi="宋体" w:cs="宋体"/>
          <w:color w:val="000000"/>
          <w:sz w:val="21"/>
          <w:shd w:val="clear" w:color="auto" w:fill="auto"/>
          <w:vertAlign w:val="baseline"/>
        </w:rPr>
        <w:t>年四川总督锡良开始创办中等学堂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这些学堂大都由原来的书院改名设立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包括各种实业学堂和师范学堂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前者以农业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工业学堂为主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后者分优级和初级师范科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城乡学堂林立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不能尽载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这表明当时四川</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54c7adfc-a473-4e13-b137-e39796456f64"/>
        <w:numPr>
          <w:ilvl w:val="0"/>
          <w:numId w:val="4"/>
        </w:numPr>
        <w:tabs>
          <w:tab w:val="left" w:pos="2078"/>
          <w:tab w:val="left" w:pos="4156"/>
          <w:tab w:val="left" w:pos="6234"/>
        </w:tabs>
        <w:spacing w:line="320" w:lineRule="auto"/>
        <w:ind w:left="300"/>
        <w:jc w:val="left"/>
        <w:textAlignment w:val="center"/>
        <w:rPr>
          <w:sz w:val="21"/>
        </w:rPr>
      </w:pPr>
      <w:r>
        <w:rPr>
          <w:rFonts w:ascii="宋体" w:eastAsia="宋体" w:hAnsi="宋体" w:cs="宋体"/>
          <w:color w:val="000000"/>
          <w:sz w:val="21"/>
          <w:shd w:val="clear" w:color="auto" w:fill="auto"/>
          <w:vertAlign w:val="baseline"/>
        </w:rPr>
        <w:t>私人办学风气受到遏制</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学堂主导新式教育推进</w:t>
      </w:r>
      <w:r>
        <w:rPr>
          <w:rFonts w:ascii="Times New Roman" w:eastAsia="Times New Roman" w:hAnsi="Times New Roman" w:cs="Times New Roman"/>
          <w:color w:val="000000"/>
          <w:sz w:val="21"/>
          <w:shd w:val="clear" w:color="auto" w:fill="auto"/>
          <w:vertAlign w:val="baseline"/>
        </w:rPr>
        <w:tab/>
      </w:r>
    </w:p>
    <w:p>
      <w:pPr>
        <w:pStyle w:val="Normal54c7adfc-a473-4e13-b137-e39796456f64"/>
        <w:numPr>
          <w:numId w:val="0"/>
        </w:numPr>
        <w:tabs>
          <w:tab w:val="left" w:pos="2078"/>
          <w:tab w:val="left" w:pos="4156"/>
          <w:tab w:val="left" w:pos="6234"/>
        </w:tabs>
        <w:spacing w:line="320" w:lineRule="auto"/>
        <w:ind w:firstLine="210" w:firstLineChars="1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传统教育方式根本动摇</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国民教育体系逐步形成</w:t>
      </w:r>
    </w:p>
    <w:p>
      <w:pPr>
        <w:pStyle w:val="Normal54c7adfc-a473-4e13-b137-e39796456f64"/>
        <w:numPr>
          <w:ilvl w:val="0"/>
          <w:numId w:val="0"/>
        </w:numPr>
        <w:spacing w:line="320" w:lineRule="auto"/>
        <w:ind w:left="20"/>
        <w:jc w:val="left"/>
        <w:textAlignment w:val="center"/>
        <w:rPr>
          <w:sz w:val="21"/>
        </w:rPr>
      </w:pP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如图是上海商业储蓄银行于</w:t>
      </w:r>
      <w:r>
        <w:rPr>
          <w:rFonts w:ascii="Times New Roman" w:eastAsia="Times New Roman" w:hAnsi="Times New Roman" w:cs="Times New Roman"/>
          <w:color w:val="000000"/>
          <w:sz w:val="21"/>
          <w:shd w:val="clear" w:color="auto" w:fill="auto"/>
          <w:vertAlign w:val="baseline"/>
        </w:rPr>
        <w:t>1921</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10</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10</w:t>
      </w:r>
      <w:r>
        <w:rPr>
          <w:rFonts w:ascii="宋体" w:eastAsia="宋体" w:hAnsi="宋体" w:cs="宋体"/>
          <w:color w:val="000000"/>
          <w:sz w:val="21"/>
          <w:shd w:val="clear" w:color="auto" w:fill="auto"/>
          <w:vertAlign w:val="baseline"/>
        </w:rPr>
        <w:t>日在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申报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上登载的一则广告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其核心要义是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ind w:left="20"/>
        <w:jc w:val="center"/>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1790700" cy="1647825"/>
            <wp:effectExtent l="0" t="0" r="0" b="9525"/>
            <wp:docPr id="8" name="_x0000_i1032"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_x0000_i1032" descr="@@@9a3d9f613cfe422293ed02753b6379ae"/>
                    <pic:cNvPicPr>
                      <a:picLocks noChangeAspect="1"/>
                    </pic:cNvPicPr>
                  </pic:nvPicPr>
                  <pic:blipFill>
                    <a:blip xmlns:r="http://schemas.openxmlformats.org/officeDocument/2006/relationships" r:embed="rId4"/>
                    <a:stretch>
                      <a:fillRect/>
                    </a:stretch>
                  </pic:blipFill>
                  <pic:spPr>
                    <a:xfrm>
                      <a:off x="0" y="0"/>
                      <a:ext cx="1790700" cy="1647825"/>
                    </a:xfrm>
                    <a:prstGeom prst="rect">
                      <a:avLst/>
                    </a:prstGeom>
                  </pic:spPr>
                </pic:pic>
              </a:graphicData>
            </a:graphic>
          </wp:inline>
        </w:drawing>
      </w:r>
    </w:p>
    <w:p>
      <w:pPr>
        <w:pStyle w:val="Normal54c7adfc-a473-4e13-b137-e39796456f64"/>
        <w:numPr>
          <w:ilvl w:val="0"/>
          <w:numId w:val="5"/>
        </w:numPr>
        <w:tabs>
          <w:tab w:val="left" w:pos="2078"/>
          <w:tab w:val="left" w:pos="4156"/>
          <w:tab w:val="left" w:pos="6234"/>
        </w:tabs>
        <w:spacing w:line="320" w:lineRule="auto"/>
        <w:ind w:left="300"/>
        <w:jc w:val="left"/>
        <w:textAlignment w:val="center"/>
        <w:rPr>
          <w:sz w:val="21"/>
        </w:rPr>
      </w:pPr>
      <w:r>
        <w:rPr>
          <w:rFonts w:ascii="宋体" w:eastAsia="宋体" w:hAnsi="宋体" w:cs="宋体"/>
          <w:color w:val="000000"/>
          <w:sz w:val="21"/>
          <w:shd w:val="clear" w:color="auto" w:fill="auto"/>
          <w:vertAlign w:val="baseline"/>
        </w:rPr>
        <w:t>渲染无钱的焦虑感</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纪念民国的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双十节</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ab/>
      </w:r>
    </w:p>
    <w:p>
      <w:pPr>
        <w:pStyle w:val="Normal54c7adfc-a473-4e13-b137-e39796456f64"/>
        <w:numPr>
          <w:numId w:val="0"/>
        </w:numPr>
        <w:tabs>
          <w:tab w:val="left" w:pos="2078"/>
          <w:tab w:val="left" w:pos="4156"/>
          <w:tab w:val="left" w:pos="6234"/>
        </w:tabs>
        <w:spacing w:line="320" w:lineRule="auto"/>
        <w:ind w:firstLine="210" w:firstLineChars="1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宣传储蓄积少成多</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强调个人与社会关系</w:t>
      </w:r>
    </w:p>
    <w:p>
      <w:pPr>
        <w:pStyle w:val="Normal54c7adfc-a473-4e13-b137-e39796456f64"/>
        <w:numPr>
          <w:ilvl w:val="0"/>
          <w:numId w:val="0"/>
        </w:numPr>
        <w:spacing w:line="320" w:lineRule="auto"/>
        <w:ind w:left="20"/>
        <w:jc w:val="left"/>
        <w:textAlignment w:val="center"/>
        <w:rPr>
          <w:sz w:val="21"/>
        </w:rPr>
      </w:pPr>
      <w:r>
        <w:rPr>
          <w:rFonts w:ascii="Times New Roman" w:eastAsia="Times New Roman" w:hAnsi="Times New Roman" w:cs="Times New Roman"/>
          <w:color w:val="000000"/>
          <w:sz w:val="21"/>
          <w:shd w:val="clear" w:color="auto" w:fill="auto"/>
          <w:vertAlign w:val="baseline"/>
        </w:rPr>
        <w:t>9．</w:t>
      </w:r>
      <w:r>
        <w:rPr>
          <w:rFonts w:ascii="Times New Roman" w:eastAsia="Times New Roman" w:hAnsi="Times New Roman" w:cs="Times New Roman"/>
          <w:color w:val="000000"/>
          <w:sz w:val="21"/>
          <w:shd w:val="clear" w:color="auto" w:fill="auto"/>
          <w:vertAlign w:val="baseline"/>
        </w:rPr>
        <w:t>1952</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5</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日本国会议员公腰喜助等应邀到访北京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返日后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他们把周恩来总理赠送的电影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白毛女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在各地巡回放映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受到热烈欢迎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之后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日本艺术家松山树子将其改编成芭蕾舞剧在日本演出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这反映出当时</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54c7adfc-a473-4e13-b137-e39796456f6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中日友好成为社会各界普遍愿望</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中国民间外交取得积极成果</w:t>
      </w:r>
    </w:p>
    <w:p>
      <w:pPr>
        <w:pStyle w:val="Normal54c7adfc-a473-4e13-b137-e39796456f6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议员访华推动中日政府关系破冰</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双百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方针促进了文化交流</w:t>
      </w:r>
    </w:p>
    <w:p>
      <w:pPr>
        <w:pStyle w:val="Normal54c7adfc-a473-4e13-b137-e39796456f64"/>
        <w:numPr>
          <w:ilvl w:val="0"/>
          <w:numId w:val="0"/>
        </w:numPr>
        <w:spacing w:line="320" w:lineRule="auto"/>
        <w:ind w:left="20"/>
        <w:jc w:val="left"/>
        <w:textAlignment w:val="center"/>
        <w:rPr>
          <w:sz w:val="21"/>
        </w:rPr>
      </w:pPr>
      <w:r>
        <w:rPr>
          <w:rFonts w:ascii="Times New Roman" w:eastAsia="Times New Roman" w:hAnsi="Times New Roman" w:cs="Times New Roman"/>
          <w:color w:val="000000"/>
          <w:sz w:val="21"/>
          <w:shd w:val="clear" w:color="auto" w:fill="auto"/>
          <w:vertAlign w:val="baseline"/>
        </w:rPr>
        <w:t>10．</w:t>
      </w:r>
      <w:r>
        <w:rPr>
          <w:rFonts w:ascii="宋体" w:eastAsia="宋体" w:hAnsi="宋体" w:cs="宋体"/>
          <w:color w:val="000000"/>
          <w:sz w:val="21"/>
          <w:shd w:val="clear" w:color="auto" w:fill="auto"/>
          <w:vertAlign w:val="baseline"/>
        </w:rPr>
        <w:t>公元前</w:t>
      </w:r>
      <w:r>
        <w:rPr>
          <w:rFonts w:ascii="Times New Roman" w:eastAsia="Times New Roman" w:hAnsi="Times New Roman" w:cs="Times New Roman"/>
          <w:color w:val="000000"/>
          <w:sz w:val="21"/>
          <w:shd w:val="clear" w:color="auto" w:fill="auto"/>
          <w:vertAlign w:val="baseline"/>
        </w:rPr>
        <w:t>338</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雅典军队于喀罗尼亚被马其顿王腓力二世击败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面对惨重损失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雅典公民大会颁布法令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授予外邦人公民权并解放奴隶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数日后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雅典人获悉腓力二世将以宽大条件议和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旋即废除上述法令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由此可知当时雅典</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54c7adfc-a473-4e13-b137-e39796456f6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公民群体极力维护自身特权</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公民兵不再响应城邦征召</w:t>
      </w:r>
    </w:p>
    <w:p>
      <w:pPr>
        <w:pStyle w:val="Normal54c7adfc-a473-4e13-b137-e39796456f6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外部压力暴露民主决策弊端</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奴隶制未能满足社会需求</w:t>
      </w:r>
    </w:p>
    <w:p>
      <w:pPr>
        <w:pStyle w:val="Normal54c7adfc-a473-4e13-b137-e39796456f6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11．</w:t>
      </w:r>
      <w:r>
        <w:rPr>
          <w:rFonts w:ascii="宋体" w:eastAsia="宋体" w:hAnsi="宋体" w:cs="宋体"/>
          <w:color w:val="000000"/>
          <w:sz w:val="21"/>
          <w:shd w:val="clear" w:color="auto" w:fill="auto"/>
          <w:vertAlign w:val="baseline"/>
        </w:rPr>
        <w:t>中古晚期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西印度洋地区出现了现存最早的阿拉伯文航海手册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在这同一种文字之下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他们记述了在海上定位与寻路的技能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其中交织着伊斯兰二十八星宿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波斯太阳历法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印度纬度测量等内容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这说明当时的阿拉伯人</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54c7adfc-a473-4e13-b137-e39796456f6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将天文知识融入导航技术</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试图消解地方文化差异</w:t>
      </w:r>
    </w:p>
    <w:p>
      <w:pPr>
        <w:pStyle w:val="Normal54c7adfc-a473-4e13-b137-e39796456f6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向东方寻找跨洋航海路线</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欠缺自主航海活动经验</w:t>
      </w:r>
    </w:p>
    <w:p>
      <w:pPr>
        <w:pStyle w:val="Normal54c7adfc-a473-4e13-b137-e39796456f64"/>
        <w:numPr>
          <w:ilvl w:val="0"/>
          <w:numId w:val="0"/>
        </w:numPr>
        <w:spacing w:line="320" w:lineRule="auto"/>
        <w:ind w:left="20"/>
        <w:jc w:val="left"/>
        <w:textAlignment w:val="center"/>
        <w:rPr>
          <w:sz w:val="21"/>
        </w:rPr>
      </w:pPr>
      <w:r>
        <w:rPr>
          <w:rFonts w:ascii="Times New Roman" w:eastAsia="Times New Roman" w:hAnsi="Times New Roman" w:cs="Times New Roman"/>
          <w:color w:val="000000"/>
          <w:sz w:val="21"/>
          <w:shd w:val="clear" w:color="auto" w:fill="auto"/>
          <w:vertAlign w:val="baseline"/>
        </w:rPr>
        <w:t>12．</w:t>
      </w:r>
      <w:r>
        <w:rPr>
          <w:rFonts w:ascii="Times New Roman" w:eastAsia="Times New Roman" w:hAnsi="Times New Roman" w:cs="Times New Roman"/>
          <w:color w:val="000000"/>
          <w:sz w:val="21"/>
          <w:shd w:val="clear" w:color="auto" w:fill="auto"/>
          <w:vertAlign w:val="baseline"/>
        </w:rPr>
        <w:t>15</w:t>
      </w:r>
      <w:r>
        <w:rPr>
          <w:rFonts w:ascii="宋体" w:eastAsia="宋体" w:hAnsi="宋体" w:cs="宋体"/>
          <w:color w:val="000000"/>
          <w:sz w:val="21"/>
          <w:shd w:val="clear" w:color="auto" w:fill="auto"/>
          <w:vertAlign w:val="baseline"/>
        </w:rPr>
        <w:t>世纪中期的意大利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圣经人文主义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学派对天主教通行的拉丁文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圣经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加以订正和注释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力图恢复其中每一个特定教义的精确历史内涵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他们追溯到古希腊文与希伯莱文的原版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圣经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中去探究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纠正了拉丁文版本中的许多谬误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这些活动</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54c7adfc-a473-4e13-b137-e39796456f6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完善了天主教神学理论</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偏离了文艺复兴的发展方向</w:t>
      </w:r>
    </w:p>
    <w:p>
      <w:pPr>
        <w:pStyle w:val="Normal54c7adfc-a473-4e13-b137-e39796456f6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强化了教会的宗教权威</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奠定了宗教改革运动的基础</w:t>
      </w:r>
    </w:p>
    <w:p>
      <w:pPr>
        <w:pStyle w:val="Normal54c7adfc-a473-4e13-b137-e39796456f6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13．</w:t>
      </w:r>
      <w:r>
        <w:rPr>
          <w:rFonts w:ascii="宋体" w:eastAsia="宋体" w:hAnsi="宋体" w:cs="宋体"/>
          <w:color w:val="000000"/>
          <w:sz w:val="21"/>
          <w:shd w:val="clear" w:color="auto" w:fill="auto"/>
          <w:vertAlign w:val="baseline"/>
        </w:rPr>
        <w:t>英国东海岸水域盛产鲱鱼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但这一资源却长期由荷兰渔民垄断</w:t>
      </w:r>
      <w:r>
        <w:rPr>
          <w:rFonts w:ascii="Times New Roman" w:eastAsia="Times New Roman" w:hAnsi="Times New Roman" w:cs="Times New Roman"/>
          <w:color w:val="000000"/>
          <w:sz w:val="21"/>
          <w:shd w:val="clear" w:color="auto" w:fill="auto"/>
          <w:vertAlign w:val="baseline"/>
        </w:rPr>
        <w:t>。1636</w:t>
      </w:r>
      <w:r>
        <w:rPr>
          <w:rFonts w:ascii="宋体" w:eastAsia="宋体" w:hAnsi="宋体" w:cs="宋体"/>
          <w:color w:val="000000"/>
          <w:sz w:val="21"/>
          <w:shd w:val="clear" w:color="auto" w:fill="auto"/>
          <w:vertAlign w:val="baseline"/>
        </w:rPr>
        <w:t>年英王查理一世向海事部门官员问询自己是否有权颁发捕鱼许可证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他们一致认为国王拥有管辖沿海渔业的权力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不久查理一世颁布召令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要求在英国周边海域捕鱼的外国渔民必须向英国申领许可证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招致荷兰驻英大使贝弗伦的不满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这有助于说明该时期</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54c7adfc-a473-4e13-b137-e39796456f6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海洋自由乃是欧洲共识</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英国主导海洋规则制定</w:t>
      </w:r>
    </w:p>
    <w:p>
      <w:pPr>
        <w:pStyle w:val="Normal54c7adfc-a473-4e13-b137-e39796456f6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欧洲海洋利益纷争频仍</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荷兰渐失海洋霸主地位</w:t>
      </w:r>
    </w:p>
    <w:p>
      <w:pPr>
        <w:pStyle w:val="Normal54c7adfc-a473-4e13-b137-e39796456f64"/>
        <w:numPr>
          <w:ilvl w:val="0"/>
          <w:numId w:val="0"/>
        </w:numPr>
        <w:spacing w:line="320" w:lineRule="auto"/>
        <w:ind w:left="20"/>
        <w:jc w:val="left"/>
        <w:textAlignment w:val="center"/>
        <w:rPr>
          <w:sz w:val="21"/>
        </w:rPr>
      </w:pPr>
      <w:r>
        <w:rPr>
          <w:rFonts w:ascii="Times New Roman" w:eastAsia="Times New Roman" w:hAnsi="Times New Roman" w:cs="Times New Roman"/>
          <w:color w:val="000000"/>
          <w:sz w:val="21"/>
          <w:shd w:val="clear" w:color="auto" w:fill="auto"/>
          <w:vertAlign w:val="baseline"/>
        </w:rPr>
        <w:t>14．</w:t>
      </w:r>
      <w:r>
        <w:rPr>
          <w:rFonts w:ascii="Times New Roman" w:eastAsia="Times New Roman" w:hAnsi="Times New Roman" w:cs="Times New Roman"/>
          <w:color w:val="000000"/>
          <w:sz w:val="21"/>
          <w:shd w:val="clear" w:color="auto" w:fill="auto"/>
          <w:vertAlign w:val="baseline"/>
        </w:rPr>
        <w:t>1925</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意大利政府下辖的法西斯工会职团联合会和意大利工业家联合会签订了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维多利协议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双方承认彼此是企业主和工人唯一的合法代表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工人和企业主的一切合同只能由上述两家联合会及其所辖组织签订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该协议旨在</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54c7adfc-a473-4e13-b137-e39796456f6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改善工人经济待遇</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加强国家对社会的控制力</w:t>
      </w:r>
    </w:p>
    <w:p>
      <w:pPr>
        <w:pStyle w:val="Normal54c7adfc-a473-4e13-b137-e39796456f6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经进劳资双方合作</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保障工人组织工会的权利</w:t>
      </w:r>
    </w:p>
    <w:p>
      <w:pPr>
        <w:pStyle w:val="Normal54c7adfc-a473-4e13-b137-e39796456f64"/>
        <w:numPr>
          <w:ilvl w:val="0"/>
          <w:numId w:val="0"/>
        </w:numPr>
        <w:spacing w:line="320" w:lineRule="auto"/>
        <w:ind w:left="20"/>
        <w:jc w:val="left"/>
        <w:textAlignment w:val="center"/>
        <w:rPr>
          <w:sz w:val="21"/>
        </w:rPr>
      </w:pPr>
      <w:r>
        <w:rPr>
          <w:rFonts w:ascii="Times New Roman" w:eastAsia="Times New Roman" w:hAnsi="Times New Roman" w:cs="Times New Roman"/>
          <w:color w:val="000000"/>
          <w:sz w:val="21"/>
          <w:shd w:val="clear" w:color="auto" w:fill="auto"/>
          <w:vertAlign w:val="baseline"/>
        </w:rPr>
        <w:t>15．</w:t>
      </w:r>
      <w:r>
        <w:rPr>
          <w:rFonts w:ascii="宋体" w:eastAsia="宋体" w:hAnsi="宋体" w:cs="宋体"/>
          <w:color w:val="000000"/>
          <w:sz w:val="21"/>
          <w:shd w:val="clear" w:color="auto" w:fill="auto"/>
          <w:vertAlign w:val="baseline"/>
        </w:rPr>
        <w:t>殖民时期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板球运动被英国殖民者带到印度</w:t>
      </w:r>
      <w:r>
        <w:rPr>
          <w:rFonts w:ascii="Times New Roman" w:eastAsia="Times New Roman" w:hAnsi="Times New Roman" w:cs="Times New Roman"/>
          <w:color w:val="000000"/>
          <w:sz w:val="21"/>
          <w:shd w:val="clear" w:color="auto" w:fill="auto"/>
          <w:vertAlign w:val="baseline"/>
        </w:rPr>
        <w:t>。1971</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印度板球队击败英国队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印度人欣喜若狂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民众涌入孟买的街头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欢呼者手舞足蹈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喇叭声不断狂鸣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完全是一派狂欢节的景象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这反映了印度</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54c7adfc-a473-4e13-b137-e39796456f6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体育运动水平超越英国</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体育事业摆脱西方控制</w:t>
      </w:r>
    </w:p>
    <w:p>
      <w:pPr>
        <w:pStyle w:val="Normal54c7adfc-a473-4e13-b137-e39796456f6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体育精神瓦解种姓制度</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体育运动承载民族情感</w:t>
      </w:r>
    </w:p>
    <w:p>
      <w:pPr>
        <w:pStyle w:val="Normal54c7adfc-a473-4e13-b137-e39796456f64"/>
      </w:pPr>
    </w:p>
    <w:p>
      <w:pPr>
        <w:pStyle w:val="paraStyle"/>
        <w:spacing w:before="200" w:beforeAutospacing="0" w:after="200" w:afterAutospacing="0"/>
      </w:pPr>
      <w:r>
        <w:t>二、非选择题</w:t>
      </w:r>
    </w:p>
    <w:p>
      <w:pPr>
        <w:pStyle w:val="Normal54c7adfc-a473-4e13-b137-e39796456f64"/>
        <w:numPr>
          <w:ilvl w:val="0"/>
          <w:numId w:val="0"/>
        </w:numPr>
        <w:spacing w:line="320" w:lineRule="auto"/>
        <w:ind w:left="20"/>
        <w:jc w:val="left"/>
        <w:textAlignment w:val="center"/>
        <w:rPr>
          <w:sz w:val="21"/>
        </w:rPr>
      </w:pPr>
      <w:r>
        <w:rPr>
          <w:rFonts w:ascii="Times New Roman" w:eastAsia="Times New Roman" w:hAnsi="Times New Roman" w:cs="Times New Roman"/>
          <w:color w:val="000000"/>
          <w:sz w:val="21"/>
          <w:shd w:val="clear" w:color="auto" w:fill="auto"/>
          <w:vertAlign w:val="baseline"/>
        </w:rPr>
        <w:t>16．</w:t>
      </w:r>
      <w:r>
        <w:rPr>
          <w:rFonts w:ascii="宋体" w:eastAsia="宋体" w:hAnsi="宋体" w:cs="宋体"/>
          <w:color w:val="000000"/>
          <w:sz w:val="21"/>
          <w:shd w:val="clear" w:color="auto" w:fill="auto"/>
          <w:vertAlign w:val="baseline"/>
        </w:rPr>
        <w:t>阅读材料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回答问题</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ind w:left="20" w:firstLine="580"/>
        <w:jc w:val="left"/>
        <w:textAlignment w:val="center"/>
        <w:rPr>
          <w:sz w:val="21"/>
        </w:rPr>
      </w:pPr>
      <w:r>
        <w:rPr>
          <w:rFonts w:ascii="楷体" w:eastAsia="楷体" w:hAnsi="楷体" w:cs="楷体"/>
          <w:color w:val="000000"/>
          <w:sz w:val="21"/>
          <w:shd w:val="clear" w:color="auto" w:fill="auto"/>
          <w:vertAlign w:val="baseline"/>
        </w:rPr>
        <w:t>材料一</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先秦时期的战争规定有一些具体的礼制原则</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左传</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记载</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宋楚泓水之战中</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宋襄公因未能听取属下建议</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利用楚军渡河以及未摆好阵型的机会发动进攻而战败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面对宋国人的谴责</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宋襄公辩护说</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古之为军也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不以阻隘也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寡人虽亡国之余</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不鼓不成列</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司马法</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还说到战争的发动</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不加丧</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不因凶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灾荒</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如</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左传</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记载</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陈成公卒</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楚人将伐陈</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问丧乃止</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荀子</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议兵</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对战争明确要求</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凡诛</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非诛其百姓也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诛乱百姓者也</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ind w:left="20" w:firstLine="580"/>
        <w:jc w:val="righ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摘编自曹建墩</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先秦礼制探赜</w:t>
      </w:r>
      <w:r>
        <w:rPr>
          <w:rFonts w:ascii="楷体" w:eastAsia="楷体" w:hAnsi="楷体" w:cs="楷体"/>
          <w:color w:val="000000"/>
          <w:sz w:val="21"/>
          <w:shd w:val="clear" w:color="auto" w:fill="auto"/>
          <w:vertAlign w:val="baseline"/>
        </w:rPr>
        <w:t>》</w:t>
      </w:r>
    </w:p>
    <w:p>
      <w:pPr>
        <w:pStyle w:val="Normal54c7adfc-a473-4e13-b137-e39796456f64"/>
        <w:spacing w:line="320" w:lineRule="auto"/>
        <w:ind w:left="20" w:firstLine="580"/>
        <w:jc w:val="left"/>
        <w:textAlignment w:val="center"/>
        <w:rPr>
          <w:sz w:val="21"/>
        </w:rPr>
      </w:pPr>
      <w:r>
        <w:rPr>
          <w:rFonts w:ascii="楷体" w:eastAsia="楷体" w:hAnsi="楷体" w:cs="楷体"/>
          <w:color w:val="000000"/>
          <w:sz w:val="21"/>
          <w:shd w:val="clear" w:color="auto" w:fill="auto"/>
          <w:vertAlign w:val="baseline"/>
        </w:rPr>
        <w:t>材料二</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全面抗战时期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侵华日军集中主要航空兵力</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对以重庆为中心的后方城市进行了长时间的轰炸</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1939</w:t>
      </w:r>
      <w:r>
        <w:rPr>
          <w:rFonts w:ascii="楷体" w:eastAsia="楷体" w:hAnsi="楷体" w:cs="楷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5</w:t>
      </w:r>
      <w:r>
        <w:rPr>
          <w:rFonts w:ascii="楷体" w:eastAsia="楷体" w:hAnsi="楷体" w:cs="楷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16</w:t>
      </w:r>
      <w:r>
        <w:rPr>
          <w:rFonts w:ascii="楷体" w:eastAsia="楷体" w:hAnsi="楷体" w:cs="楷体"/>
          <w:color w:val="000000"/>
          <w:sz w:val="21"/>
          <w:shd w:val="clear" w:color="auto" w:fill="auto"/>
          <w:vertAlign w:val="baseline"/>
        </w:rPr>
        <w:t>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中国政府发表告各省市政府与全国同胞书</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明确指出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日军对后方城市的轰炸</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其一</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欲以不断的轰炸威胁</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威胁吾全国民众抗战之精神</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希冀吾同胞之屈膝投降</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其二</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欲以猛烈之轰炸</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断绝吾同胞之生活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企图吾同胞于流离失所之中</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减少生产</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影响抗战之前途</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其三</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欲以集中的轰炸</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妨害我社会之安宁</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妄想扰吾之秩序</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号召动员全社会的力量来应对大轰炸</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大灾难后的紧急局面</w:t>
      </w:r>
      <w:r>
        <w:rPr>
          <w:rFonts w:ascii="楷体" w:eastAsia="楷体" w:hAnsi="楷体" w:cs="楷体"/>
          <w:color w:val="000000"/>
          <w:sz w:val="21"/>
          <w:shd w:val="clear" w:color="auto" w:fill="auto"/>
          <w:vertAlign w:val="baseline"/>
        </w:rPr>
        <w:t>。</w:t>
      </w:r>
    </w:p>
    <w:p>
      <w:pPr>
        <w:pStyle w:val="Normal54c7adfc-a473-4e13-b137-e39796456f64"/>
        <w:spacing w:line="320" w:lineRule="auto"/>
        <w:ind w:left="20" w:firstLine="580"/>
        <w:jc w:val="righ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摘编自潘洵</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抗日战争时期重庆大轰炸研究</w:t>
      </w:r>
      <w:r>
        <w:rPr>
          <w:rFonts w:ascii="楷体" w:eastAsia="楷体" w:hAnsi="楷体" w:cs="楷体"/>
          <w:color w:val="000000"/>
          <w:sz w:val="21"/>
          <w:shd w:val="clear" w:color="auto" w:fill="auto"/>
          <w:vertAlign w:val="baseline"/>
        </w:rPr>
        <w:t>》</w:t>
      </w:r>
    </w:p>
    <w:p>
      <w:pPr>
        <w:pStyle w:val="Normal54c7adfc-a473-4e13-b137-e39796456f64"/>
        <w:spacing w:line="320" w:lineRule="auto"/>
        <w:ind w:left="20" w:firstLine="580"/>
        <w:jc w:val="left"/>
        <w:textAlignment w:val="center"/>
        <w:rPr>
          <w:sz w:val="21"/>
        </w:rPr>
      </w:pPr>
      <w:r>
        <w:rPr>
          <w:rFonts w:ascii="楷体" w:eastAsia="楷体" w:hAnsi="楷体" w:cs="楷体"/>
          <w:color w:val="000000"/>
          <w:sz w:val="21"/>
          <w:shd w:val="clear" w:color="auto" w:fill="auto"/>
          <w:vertAlign w:val="baseline"/>
        </w:rPr>
        <w:t>材料三</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1949</w:t>
      </w:r>
      <w:r>
        <w:rPr>
          <w:rFonts w:ascii="楷体" w:eastAsia="楷体" w:hAnsi="楷体" w:cs="楷体"/>
          <w:color w:val="000000"/>
          <w:sz w:val="21"/>
          <w:shd w:val="clear" w:color="auto" w:fill="auto"/>
          <w:vertAlign w:val="baseline"/>
        </w:rPr>
        <w:t>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日内瓦公约</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对战时平民权利做了详细规定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受保护平民必须被允许以私人方式传递家庭信息</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并被协助获知冲突中失散家庭成员的信息</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他们也必须被允许依照自身的信仰来进行宗教活动</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不管何地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只要可能</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受保护的平民都应家庭团聚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并为之提供便利</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使正常家庭生活得以进行</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受伤或患病的平民</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民用医院和医护人员都必须被特别对待</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并置于红十字或新月组织的保护之下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受保护平民不能被用于人体盾牌</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也不能被施以任何集体惩罚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酷刑</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伤残或其他不人道之对待</w:t>
      </w:r>
      <w:r>
        <w:rPr>
          <w:rFonts w:ascii="楷体" w:eastAsia="楷体" w:hAnsi="楷体" w:cs="楷体"/>
          <w:color w:val="000000"/>
          <w:sz w:val="21"/>
          <w:shd w:val="clear" w:color="auto" w:fill="auto"/>
          <w:vertAlign w:val="baseline"/>
        </w:rPr>
        <w:t>。</w:t>
      </w:r>
    </w:p>
    <w:p>
      <w:pPr>
        <w:pStyle w:val="Normal54c7adfc-a473-4e13-b137-e39796456f64"/>
        <w:spacing w:line="320" w:lineRule="auto"/>
        <w:ind w:left="20" w:firstLine="580"/>
        <w:jc w:val="righ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摘编自斯科特</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克里斯蒂安</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改变世界历史进程的</w:t>
      </w:r>
      <w:r>
        <w:rPr>
          <w:rFonts w:ascii="Times New Roman" w:eastAsia="Times New Roman" w:hAnsi="Times New Roman" w:cs="Times New Roman"/>
          <w:color w:val="000000"/>
          <w:sz w:val="21"/>
          <w:shd w:val="clear" w:color="auto" w:fill="auto"/>
          <w:vertAlign w:val="baseline"/>
        </w:rPr>
        <w:t>100</w:t>
      </w:r>
      <w:r>
        <w:rPr>
          <w:rFonts w:ascii="楷体" w:eastAsia="楷体" w:hAnsi="楷体" w:cs="楷体"/>
          <w:color w:val="000000"/>
          <w:sz w:val="21"/>
          <w:shd w:val="clear" w:color="auto" w:fill="auto"/>
          <w:vertAlign w:val="baseline"/>
        </w:rPr>
        <w:t>份文件</w:t>
      </w:r>
      <w:r>
        <w:rPr>
          <w:rFonts w:ascii="楷体" w:eastAsia="楷体" w:hAnsi="楷体" w:cs="楷体"/>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根据材料一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归纳先秦时期战争礼制的原则</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根据材料二并结合所学知识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指出日军轰炸后方城市的目的和手段</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根据材料三并结合所学知识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概括</w:t>
      </w:r>
      <w:r>
        <w:rPr>
          <w:rFonts w:ascii="Times New Roman" w:eastAsia="Times New Roman" w:hAnsi="Times New Roman" w:cs="Times New Roman"/>
          <w:color w:val="000000"/>
          <w:sz w:val="21"/>
          <w:shd w:val="clear" w:color="auto" w:fill="auto"/>
          <w:vertAlign w:val="baseline"/>
        </w:rPr>
        <w:t>1949</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日内瓦公约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中战时平民权利的主要内容并总结其意义</w:t>
      </w:r>
      <w:r>
        <w:rPr>
          <w:rFonts w:ascii="Times New Roman" w:eastAsia="Times New Roman" w:hAnsi="Times New Roman" w:cs="Times New Roman"/>
          <w:color w:val="000000"/>
          <w:sz w:val="21"/>
          <w:shd w:val="clear" w:color="auto" w:fill="auto"/>
          <w:vertAlign w:val="baseline"/>
        </w:rPr>
        <w:t>。</w:t>
      </w:r>
    </w:p>
    <w:p>
      <w:pPr>
        <w:pStyle w:val="Normal54c7adfc-a473-4e13-b137-e39796456f6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17．</w:t>
      </w:r>
      <w:r>
        <w:rPr>
          <w:rFonts w:ascii="宋体" w:eastAsia="宋体" w:hAnsi="宋体" w:cs="宋体"/>
          <w:color w:val="000000"/>
          <w:sz w:val="21"/>
          <w:shd w:val="clear" w:color="auto" w:fill="auto"/>
          <w:vertAlign w:val="baseline"/>
        </w:rPr>
        <w:t>阅读材料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回答问题</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材料一</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宋代矿产资源分布较广</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多位于荒僻地带</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勘察矿藏仅靠检踏官是很难完成的</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宋廷曾下诏</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应告发铜坑除依条资格酬奖外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炉户卖铜每挺收克钱五文与原告发人充赏</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政府规定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在私人土地上发现的矿藏</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地主或发现者拥有优先开采冶炼的权利</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如果地主缺乏劳动人员</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可私下把开采权租赁给别人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如地主或发现者缺乏开采资金</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政府还可提供贷款</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矿产品的交易活动</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除金</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铁的一部分允许私人参与外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其余部分及铜</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铝</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锡等基本上由政府包揽</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也就是私人矿治产品在交税外的绝大多数必须出售给政府</w:t>
      </w:r>
      <w:r>
        <w:rPr>
          <w:rFonts w:ascii="楷体" w:eastAsia="楷体" w:hAnsi="楷体" w:cs="楷体"/>
          <w:color w:val="000000"/>
          <w:sz w:val="21"/>
          <w:shd w:val="clear" w:color="auto" w:fill="auto"/>
          <w:vertAlign w:val="baseline"/>
        </w:rPr>
        <w:t>。</w:t>
      </w:r>
    </w:p>
    <w:p>
      <w:pPr>
        <w:pStyle w:val="Normal54c7adfc-a473-4e13-b137-e39796456f64"/>
        <w:spacing w:line="320" w:lineRule="auto"/>
        <w:ind w:firstLine="560"/>
        <w:jc w:val="righ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李晓</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宋代工商业经济与政府干预研究</w:t>
      </w:r>
      <w:r>
        <w:rPr>
          <w:rFonts w:ascii="楷体" w:eastAsia="楷体" w:hAnsi="楷体" w:cs="楷体"/>
          <w:color w:val="000000"/>
          <w:sz w:val="21"/>
          <w:shd w:val="clear" w:color="auto" w:fill="auto"/>
          <w:vertAlign w:val="baseline"/>
        </w:rPr>
        <w:t>》</w:t>
      </w:r>
    </w:p>
    <w:p>
      <w:pPr>
        <w:pStyle w:val="Normal54c7adfc-a473-4e13-b137-e39796456f64"/>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材料二</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1903</w:t>
      </w:r>
      <w:r>
        <w:rPr>
          <w:rFonts w:ascii="楷体" w:eastAsia="楷体" w:hAnsi="楷体" w:cs="楷体"/>
          <w:color w:val="000000"/>
          <w:sz w:val="21"/>
          <w:shd w:val="clear" w:color="auto" w:fill="auto"/>
          <w:vertAlign w:val="baseline"/>
        </w:rPr>
        <w:t>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清廷颁布</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商会简明章程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鼓励和支持国内商人设立商会组织</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各地商会相继成立</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1907</w:t>
      </w:r>
      <w:r>
        <w:rPr>
          <w:rFonts w:ascii="楷体" w:eastAsia="楷体" w:hAnsi="楷体" w:cs="楷体"/>
          <w:color w:val="000000"/>
          <w:sz w:val="21"/>
          <w:shd w:val="clear" w:color="auto" w:fill="auto"/>
          <w:vertAlign w:val="baseline"/>
        </w:rPr>
        <w:t>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上海商务总会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上海商公会和预备立宪公会联合倡议成立华商联合会</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华国商人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涣散久矣</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甲与乙不相谋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此业与彼业不相浃</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此埠与彼埠不相闻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情势日益睽</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能力日益弱</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受压于官吏</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受制于外人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循是不改</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莽莽尘球</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无复我华商立足地矣</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然而</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华商联合会从</w:t>
      </w:r>
      <w:r>
        <w:rPr>
          <w:rFonts w:ascii="Times New Roman" w:eastAsia="Times New Roman" w:hAnsi="Times New Roman" w:cs="Times New Roman"/>
          <w:color w:val="000000"/>
          <w:sz w:val="21"/>
          <w:shd w:val="clear" w:color="auto" w:fill="auto"/>
          <w:vertAlign w:val="baseline"/>
        </w:rPr>
        <w:t>1907</w:t>
      </w:r>
      <w:r>
        <w:rPr>
          <w:rFonts w:ascii="楷体" w:eastAsia="楷体" w:hAnsi="楷体" w:cs="楷体"/>
          <w:color w:val="000000"/>
          <w:sz w:val="21"/>
          <w:shd w:val="clear" w:color="auto" w:fill="auto"/>
          <w:vertAlign w:val="baseline"/>
        </w:rPr>
        <w:t>年初始改制到</w:t>
      </w:r>
      <w:r>
        <w:rPr>
          <w:rFonts w:ascii="Times New Roman" w:eastAsia="Times New Roman" w:hAnsi="Times New Roman" w:cs="Times New Roman"/>
          <w:color w:val="000000"/>
          <w:sz w:val="21"/>
          <w:shd w:val="clear" w:color="auto" w:fill="auto"/>
          <w:vertAlign w:val="baseline"/>
        </w:rPr>
        <w:t>1911</w:t>
      </w:r>
      <w:r>
        <w:rPr>
          <w:rFonts w:ascii="楷体" w:eastAsia="楷体" w:hAnsi="楷体" w:cs="楷体"/>
          <w:color w:val="000000"/>
          <w:sz w:val="21"/>
          <w:shd w:val="clear" w:color="auto" w:fill="auto"/>
          <w:vertAlign w:val="baseline"/>
        </w:rPr>
        <w:t>年清灭亡</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虽经上海商务总会与海内外各埠商会的不懈努力</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终因未得到中央及地方各级官员支持而未获成功</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1912</w:t>
      </w:r>
      <w:r>
        <w:rPr>
          <w:rFonts w:ascii="楷体" w:eastAsia="楷体" w:hAnsi="楷体" w:cs="楷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8</w:t>
      </w:r>
      <w:r>
        <w:rPr>
          <w:rFonts w:ascii="楷体" w:eastAsia="楷体" w:hAnsi="楷体" w:cs="楷体"/>
          <w:color w:val="000000"/>
          <w:sz w:val="21"/>
          <w:shd w:val="clear" w:color="auto" w:fill="auto"/>
          <w:vertAlign w:val="baseline"/>
        </w:rPr>
        <w:t>月</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刘揆一出任工商总长</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召开全国工商会议</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上海</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汉口商会草拟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全国商会联合会章程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提交会议</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得到与会海内外</w:t>
      </w:r>
      <w:r>
        <w:rPr>
          <w:rFonts w:ascii="Times New Roman" w:eastAsia="Times New Roman" w:hAnsi="Times New Roman" w:cs="Times New Roman"/>
          <w:color w:val="000000"/>
          <w:sz w:val="21"/>
          <w:shd w:val="clear" w:color="auto" w:fill="auto"/>
          <w:vertAlign w:val="baseline"/>
        </w:rPr>
        <w:t>45</w:t>
      </w:r>
      <w:r>
        <w:rPr>
          <w:rFonts w:ascii="楷体" w:eastAsia="楷体" w:hAnsi="楷体" w:cs="楷体"/>
          <w:color w:val="000000"/>
          <w:sz w:val="21"/>
          <w:shd w:val="clear" w:color="auto" w:fill="auto"/>
          <w:vertAlign w:val="baseline"/>
        </w:rPr>
        <w:t>个商会的赞同</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11</w:t>
      </w:r>
      <w:r>
        <w:rPr>
          <w:rFonts w:ascii="楷体" w:eastAsia="楷体" w:hAnsi="楷体" w:cs="楷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12</w:t>
      </w:r>
      <w:r>
        <w:rPr>
          <w:rFonts w:ascii="楷体" w:eastAsia="楷体" w:hAnsi="楷体" w:cs="楷体"/>
          <w:color w:val="000000"/>
          <w:sz w:val="21"/>
          <w:shd w:val="clear" w:color="auto" w:fill="auto"/>
          <w:vertAlign w:val="baseline"/>
        </w:rPr>
        <w:t>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中华全国商会联合会宣告成立</w:t>
      </w:r>
      <w:r>
        <w:rPr>
          <w:rFonts w:ascii="楷体" w:eastAsia="楷体" w:hAnsi="楷体" w:cs="楷体"/>
          <w:color w:val="000000"/>
          <w:sz w:val="21"/>
          <w:shd w:val="clear" w:color="auto" w:fill="auto"/>
          <w:vertAlign w:val="baseline"/>
        </w:rPr>
        <w:t>。</w:t>
      </w:r>
    </w:p>
    <w:p>
      <w:pPr>
        <w:pStyle w:val="Normal54c7adfc-a473-4e13-b137-e39796456f64"/>
        <w:spacing w:line="320" w:lineRule="auto"/>
        <w:ind w:firstLine="560"/>
        <w:jc w:val="righ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选自贺业钜</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中国古代城市规划史</w:t>
      </w:r>
      <w:r>
        <w:rPr>
          <w:rFonts w:ascii="楷体" w:eastAsia="楷体" w:hAnsi="楷体" w:cs="楷体"/>
          <w:color w:val="000000"/>
          <w:sz w:val="21"/>
          <w:shd w:val="clear" w:color="auto" w:fill="auto"/>
          <w:vertAlign w:val="baseline"/>
        </w:rPr>
        <w:t>》</w:t>
      </w:r>
    </w:p>
    <w:p>
      <w:pPr>
        <w:pStyle w:val="Normal54c7adfc-a473-4e13-b137-e39796456f64"/>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材料三</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据美国国民经济统计局统计</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1876—1939</w:t>
      </w:r>
      <w:r>
        <w:rPr>
          <w:rFonts w:ascii="楷体" w:eastAsia="楷体" w:hAnsi="楷体" w:cs="楷体"/>
          <w:color w:val="000000"/>
          <w:sz w:val="21"/>
          <w:shd w:val="clear" w:color="auto" w:fill="auto"/>
          <w:vertAlign w:val="baseline"/>
        </w:rPr>
        <w:t>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美国共出现了</w:t>
      </w:r>
      <w:r>
        <w:rPr>
          <w:rFonts w:ascii="Times New Roman" w:eastAsia="Times New Roman" w:hAnsi="Times New Roman" w:cs="Times New Roman"/>
          <w:color w:val="000000"/>
          <w:sz w:val="21"/>
          <w:shd w:val="clear" w:color="auto" w:fill="auto"/>
          <w:vertAlign w:val="baseline"/>
        </w:rPr>
        <w:t>17</w:t>
      </w:r>
      <w:r>
        <w:rPr>
          <w:rFonts w:ascii="楷体" w:eastAsia="楷体" w:hAnsi="楷体" w:cs="楷体"/>
          <w:color w:val="000000"/>
          <w:sz w:val="21"/>
          <w:shd w:val="clear" w:color="auto" w:fill="auto"/>
          <w:vertAlign w:val="baseline"/>
        </w:rPr>
        <w:t>个经济周期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其中</w:t>
      </w:r>
      <w:r>
        <w:rPr>
          <w:rFonts w:ascii="Times New Roman" w:eastAsia="Times New Roman" w:hAnsi="Times New Roman" w:cs="Times New Roman"/>
          <w:color w:val="000000"/>
          <w:sz w:val="21"/>
          <w:shd w:val="clear" w:color="auto" w:fill="auto"/>
          <w:vertAlign w:val="baseline"/>
        </w:rPr>
        <w:t>11</w:t>
      </w:r>
      <w:r>
        <w:rPr>
          <w:rFonts w:ascii="楷体" w:eastAsia="楷体" w:hAnsi="楷体" w:cs="楷体"/>
          <w:color w:val="000000"/>
          <w:sz w:val="21"/>
          <w:shd w:val="clear" w:color="auto" w:fill="auto"/>
          <w:vertAlign w:val="baseline"/>
        </w:rPr>
        <w:t>个为美国独有</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在另外</w:t>
      </w:r>
      <w:r>
        <w:rPr>
          <w:rFonts w:ascii="Times New Roman" w:eastAsia="Times New Roman" w:hAnsi="Times New Roman" w:cs="Times New Roman"/>
          <w:color w:val="000000"/>
          <w:sz w:val="21"/>
          <w:shd w:val="clear" w:color="auto" w:fill="auto"/>
          <w:vertAlign w:val="baseline"/>
        </w:rPr>
        <w:t>6</w:t>
      </w:r>
      <w:r>
        <w:rPr>
          <w:rFonts w:ascii="楷体" w:eastAsia="楷体" w:hAnsi="楷体" w:cs="楷体"/>
          <w:color w:val="000000"/>
          <w:sz w:val="21"/>
          <w:shd w:val="clear" w:color="auto" w:fill="auto"/>
          <w:vertAlign w:val="baseline"/>
        </w:rPr>
        <w:t>个世界性经济周期中</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有</w:t>
      </w:r>
      <w:r>
        <w:rPr>
          <w:rFonts w:ascii="Times New Roman" w:eastAsia="Times New Roman" w:hAnsi="Times New Roman" w:cs="Times New Roman"/>
          <w:color w:val="000000"/>
          <w:sz w:val="21"/>
          <w:shd w:val="clear" w:color="auto" w:fill="auto"/>
          <w:vertAlign w:val="baseline"/>
        </w:rPr>
        <w:t>4</w:t>
      </w:r>
      <w:r>
        <w:rPr>
          <w:rFonts w:ascii="楷体" w:eastAsia="楷体" w:hAnsi="楷体" w:cs="楷体"/>
          <w:color w:val="000000"/>
          <w:sz w:val="21"/>
          <w:shd w:val="clear" w:color="auto" w:fill="auto"/>
          <w:vertAlign w:val="baseline"/>
        </w:rPr>
        <w:t>次衰退爆发的</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震源</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和</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震中</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都是美国</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在这约</w:t>
      </w:r>
      <w:r>
        <w:rPr>
          <w:rFonts w:ascii="Times New Roman" w:eastAsia="Times New Roman" w:hAnsi="Times New Roman" w:cs="Times New Roman"/>
          <w:color w:val="000000"/>
          <w:sz w:val="21"/>
          <w:shd w:val="clear" w:color="auto" w:fill="auto"/>
          <w:vertAlign w:val="baseline"/>
        </w:rPr>
        <w:t>64</w:t>
      </w:r>
      <w:r>
        <w:rPr>
          <w:rFonts w:ascii="楷体" w:eastAsia="楷体" w:hAnsi="楷体" w:cs="楷体"/>
          <w:color w:val="000000"/>
          <w:sz w:val="21"/>
          <w:shd w:val="clear" w:color="auto" w:fill="auto"/>
          <w:vertAlign w:val="baseline"/>
        </w:rPr>
        <w:t>年中</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美国</w:t>
      </w:r>
      <w:r>
        <w:rPr>
          <w:rFonts w:ascii="Times New Roman" w:eastAsia="Times New Roman" w:hAnsi="Times New Roman" w:cs="Times New Roman"/>
          <w:color w:val="000000"/>
          <w:sz w:val="21"/>
          <w:shd w:val="clear" w:color="auto" w:fill="auto"/>
          <w:vertAlign w:val="baseline"/>
        </w:rPr>
        <w:t>17</w:t>
      </w:r>
      <w:r>
        <w:rPr>
          <w:rFonts w:ascii="楷体" w:eastAsia="楷体" w:hAnsi="楷体" w:cs="楷体"/>
          <w:color w:val="000000"/>
          <w:sz w:val="21"/>
          <w:shd w:val="clear" w:color="auto" w:fill="auto"/>
          <w:vertAlign w:val="baseline"/>
        </w:rPr>
        <w:t>个经济周期的平均长度约为</w:t>
      </w:r>
      <w:r>
        <w:rPr>
          <w:rFonts w:ascii="Times New Roman" w:eastAsia="Times New Roman" w:hAnsi="Times New Roman" w:cs="Times New Roman"/>
          <w:color w:val="000000"/>
          <w:sz w:val="21"/>
          <w:shd w:val="clear" w:color="auto" w:fill="auto"/>
          <w:vertAlign w:val="baseline"/>
        </w:rPr>
        <w:t>48</w:t>
      </w:r>
      <w:r>
        <w:rPr>
          <w:rFonts w:ascii="楷体" w:eastAsia="楷体" w:hAnsi="楷体" w:cs="楷体"/>
          <w:color w:val="000000"/>
          <w:sz w:val="21"/>
          <w:shd w:val="clear" w:color="auto" w:fill="auto"/>
          <w:vertAlign w:val="baseline"/>
        </w:rPr>
        <w:t>个月</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较第一次产业革命时缩短了</w:t>
      </w:r>
      <w:r>
        <w:rPr>
          <w:rFonts w:ascii="Times New Roman" w:eastAsia="Times New Roman" w:hAnsi="Times New Roman" w:cs="Times New Roman"/>
          <w:color w:val="000000"/>
          <w:sz w:val="21"/>
          <w:shd w:val="clear" w:color="auto" w:fill="auto"/>
          <w:vertAlign w:val="baseline"/>
        </w:rPr>
        <w:t>3</w:t>
      </w:r>
      <w:r>
        <w:rPr>
          <w:rFonts w:ascii="楷体" w:eastAsia="楷体" w:hAnsi="楷体" w:cs="楷体"/>
          <w:color w:val="000000"/>
          <w:sz w:val="21"/>
          <w:shd w:val="clear" w:color="auto" w:fill="auto"/>
          <w:vertAlign w:val="baseline"/>
        </w:rPr>
        <w:t>个月</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历次重大的经济衰退几乎都是在周期性繁荣的后期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由于过度投机导致金融恐慌</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行市暴跌和金融机构大量倒闭而诱发和深化的</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金融业危机对整个国民经济衰退的这种诱发性和加剧性</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在</w:t>
      </w:r>
      <w:r>
        <w:rPr>
          <w:rFonts w:ascii="Times New Roman" w:eastAsia="Times New Roman" w:hAnsi="Times New Roman" w:cs="Times New Roman"/>
          <w:color w:val="000000"/>
          <w:sz w:val="21"/>
          <w:shd w:val="clear" w:color="auto" w:fill="auto"/>
          <w:vertAlign w:val="baseline"/>
        </w:rPr>
        <w:t>1929—1933</w:t>
      </w:r>
      <w:r>
        <w:rPr>
          <w:rFonts w:ascii="楷体" w:eastAsia="楷体" w:hAnsi="楷体" w:cs="楷体"/>
          <w:color w:val="000000"/>
          <w:sz w:val="21"/>
          <w:shd w:val="clear" w:color="auto" w:fill="auto"/>
          <w:vertAlign w:val="baseline"/>
        </w:rPr>
        <w:t>年的世界性经济危机中达到顶峰</w:t>
      </w:r>
      <w:r>
        <w:rPr>
          <w:rFonts w:ascii="楷体" w:eastAsia="楷体" w:hAnsi="楷体" w:cs="楷体"/>
          <w:color w:val="000000"/>
          <w:sz w:val="21"/>
          <w:shd w:val="clear" w:color="auto" w:fill="auto"/>
          <w:vertAlign w:val="baseline"/>
        </w:rPr>
        <w:t>。</w:t>
      </w:r>
    </w:p>
    <w:p>
      <w:pPr>
        <w:pStyle w:val="Normal54c7adfc-a473-4e13-b137-e39796456f64"/>
        <w:spacing w:line="320" w:lineRule="auto"/>
        <w:ind w:firstLine="560"/>
        <w:jc w:val="righ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摘编自彭斯达</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美国经济周期研究</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历史</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趋势及中美经济周期的协动性</w:t>
      </w:r>
      <w:r>
        <w:rPr>
          <w:rFonts w:ascii="楷体" w:eastAsia="楷体" w:hAnsi="楷体" w:cs="楷体"/>
          <w:color w:val="000000"/>
          <w:sz w:val="21"/>
          <w:shd w:val="clear" w:color="auto" w:fill="auto"/>
          <w:vertAlign w:val="baseline"/>
        </w:rPr>
        <w:t>》</w:t>
      </w:r>
    </w:p>
    <w:p>
      <w:pPr>
        <w:pStyle w:val="Normal54c7adfc-a473-4e13-b137-e39796456f64"/>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材料四</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改革开发以来的中国宏观调控是成功和有效的</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改革开发</w:t>
      </w:r>
      <w:r>
        <w:rPr>
          <w:rFonts w:ascii="Times New Roman" w:eastAsia="Times New Roman" w:hAnsi="Times New Roman" w:cs="Times New Roman"/>
          <w:color w:val="000000"/>
          <w:sz w:val="21"/>
          <w:shd w:val="clear" w:color="auto" w:fill="auto"/>
          <w:vertAlign w:val="baseline"/>
        </w:rPr>
        <w:t>40</w:t>
      </w:r>
      <w:r>
        <w:rPr>
          <w:rFonts w:ascii="楷体" w:eastAsia="楷体" w:hAnsi="楷体" w:cs="楷体"/>
          <w:color w:val="000000"/>
          <w:sz w:val="21"/>
          <w:shd w:val="clear" w:color="auto" w:fill="auto"/>
          <w:vertAlign w:val="baseline"/>
        </w:rPr>
        <w:t>年来中国经济每年都在增长</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没有一年出现负增长</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而且最低年份的</w:t>
      </w:r>
      <w:r>
        <w:rPr>
          <w:rFonts w:ascii="Times New Roman" w:eastAsia="Times New Roman" w:hAnsi="Times New Roman" w:cs="Times New Roman"/>
          <w:color w:val="000000"/>
          <w:sz w:val="21"/>
          <w:shd w:val="clear" w:color="auto" w:fill="auto"/>
          <w:vertAlign w:val="baseline"/>
        </w:rPr>
        <w:t>GDP</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国内生产总值</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增长率也达</w:t>
      </w:r>
      <w:r>
        <w:rPr>
          <w:rFonts w:ascii="Times New Roman" w:eastAsia="Times New Roman" w:hAnsi="Times New Roman" w:cs="Times New Roman"/>
          <w:color w:val="000000"/>
          <w:sz w:val="21"/>
          <w:shd w:val="clear" w:color="auto" w:fill="auto"/>
          <w:vertAlign w:val="baseline"/>
        </w:rPr>
        <w:t>3</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9%</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1990</w:t>
      </w:r>
      <w:r>
        <w:rPr>
          <w:rFonts w:ascii="楷体" w:eastAsia="楷体" w:hAnsi="楷体" w:cs="楷体"/>
          <w:color w:val="000000"/>
          <w:sz w:val="21"/>
          <w:shd w:val="clear" w:color="auto" w:fill="auto"/>
          <w:vertAlign w:val="baseline"/>
        </w:rPr>
        <w:t>年</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虽然出现过</w:t>
      </w:r>
      <w:r>
        <w:rPr>
          <w:rFonts w:ascii="Times New Roman" w:eastAsia="Times New Roman" w:hAnsi="Times New Roman" w:cs="Times New Roman"/>
          <w:color w:val="000000"/>
          <w:sz w:val="21"/>
          <w:shd w:val="clear" w:color="auto" w:fill="auto"/>
          <w:vertAlign w:val="baseline"/>
        </w:rPr>
        <w:t>2</w:t>
      </w:r>
      <w:r>
        <w:rPr>
          <w:rFonts w:ascii="楷体" w:eastAsia="楷体" w:hAnsi="楷体" w:cs="楷体"/>
          <w:color w:val="000000"/>
          <w:sz w:val="21"/>
          <w:shd w:val="clear" w:color="auto" w:fill="auto"/>
          <w:vertAlign w:val="baseline"/>
        </w:rPr>
        <w:t>次</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1988-1989</w:t>
      </w:r>
      <w:r>
        <w:rPr>
          <w:rFonts w:ascii="楷体" w:eastAsia="楷体" w:hAnsi="楷体" w:cs="楷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,1993-1995</w:t>
      </w:r>
      <w:r>
        <w:rPr>
          <w:rFonts w:ascii="楷体" w:eastAsia="楷体" w:hAnsi="楷体" w:cs="楷体"/>
          <w:color w:val="000000"/>
          <w:sz w:val="21"/>
          <w:shd w:val="clear" w:color="auto" w:fill="auto"/>
          <w:vertAlign w:val="baseline"/>
        </w:rPr>
        <w:t>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两位数的</w:t>
      </w:r>
      <w:r>
        <w:rPr>
          <w:rFonts w:ascii="Times New Roman" w:eastAsia="Times New Roman" w:hAnsi="Times New Roman" w:cs="Times New Roman"/>
          <w:color w:val="000000"/>
          <w:sz w:val="21"/>
          <w:shd w:val="clear" w:color="auto" w:fill="auto"/>
          <w:vertAlign w:val="baseline"/>
        </w:rPr>
        <w:t>CPI</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居民消费价格指数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上涨率</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但较快得到有效控制和治理</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1995</w:t>
      </w:r>
      <w:r>
        <w:rPr>
          <w:rFonts w:ascii="楷体" w:eastAsia="楷体" w:hAnsi="楷体" w:cs="楷体"/>
          <w:color w:val="000000"/>
          <w:sz w:val="21"/>
          <w:shd w:val="clear" w:color="auto" w:fill="auto"/>
          <w:vertAlign w:val="baseline"/>
        </w:rPr>
        <w:t>年以后的</w:t>
      </w:r>
      <w:r>
        <w:rPr>
          <w:rFonts w:ascii="Times New Roman" w:eastAsia="Times New Roman" w:hAnsi="Times New Roman" w:cs="Times New Roman"/>
          <w:color w:val="000000"/>
          <w:sz w:val="21"/>
          <w:shd w:val="clear" w:color="auto" w:fill="auto"/>
          <w:vertAlign w:val="baseline"/>
        </w:rPr>
        <w:t>20</w:t>
      </w:r>
      <w:r>
        <w:rPr>
          <w:rFonts w:ascii="楷体" w:eastAsia="楷体" w:hAnsi="楷体" w:cs="楷体"/>
          <w:color w:val="000000"/>
          <w:sz w:val="21"/>
          <w:shd w:val="clear" w:color="auto" w:fill="auto"/>
          <w:vertAlign w:val="baseline"/>
        </w:rPr>
        <w:t>多年一直没有再出现</w:t>
      </w:r>
      <w:r>
        <w:rPr>
          <w:rFonts w:ascii="Times New Roman" w:eastAsia="Times New Roman" w:hAnsi="Times New Roman" w:cs="Times New Roman"/>
          <w:color w:val="000000"/>
          <w:sz w:val="21"/>
          <w:shd w:val="clear" w:color="auto" w:fill="auto"/>
          <w:vertAlign w:val="baseline"/>
        </w:rPr>
        <w:t>CPI</w:t>
      </w:r>
      <w:r>
        <w:rPr>
          <w:rFonts w:ascii="楷体" w:eastAsia="楷体" w:hAnsi="楷体" w:cs="楷体"/>
          <w:color w:val="000000"/>
          <w:sz w:val="21"/>
          <w:shd w:val="clear" w:color="auto" w:fill="auto"/>
          <w:vertAlign w:val="baseline"/>
        </w:rPr>
        <w:t>两位数的上涨</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1979——2017</w:t>
      </w:r>
      <w:r>
        <w:rPr>
          <w:rFonts w:ascii="楷体" w:eastAsia="楷体" w:hAnsi="楷体" w:cs="楷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,GDP</w:t>
      </w:r>
      <w:r>
        <w:rPr>
          <w:rFonts w:ascii="楷体" w:eastAsia="楷体" w:hAnsi="楷体" w:cs="楷体"/>
          <w:color w:val="000000"/>
          <w:sz w:val="21"/>
          <w:shd w:val="clear" w:color="auto" w:fill="auto"/>
          <w:vertAlign w:val="baseline"/>
        </w:rPr>
        <w:t>以年均</w:t>
      </w:r>
      <w:r>
        <w:rPr>
          <w:rFonts w:ascii="Times New Roman" w:eastAsia="Times New Roman" w:hAnsi="Times New Roman" w:cs="Times New Roman"/>
          <w:color w:val="000000"/>
          <w:sz w:val="21"/>
          <w:shd w:val="clear" w:color="auto" w:fill="auto"/>
          <w:vertAlign w:val="baseline"/>
        </w:rPr>
        <w:t>9</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5%</w:t>
      </w:r>
      <w:r>
        <w:rPr>
          <w:rFonts w:ascii="楷体" w:eastAsia="楷体" w:hAnsi="楷体" w:cs="楷体"/>
          <w:color w:val="000000"/>
          <w:sz w:val="21"/>
          <w:shd w:val="clear" w:color="auto" w:fill="auto"/>
          <w:vertAlign w:val="baseline"/>
        </w:rPr>
        <w:t>的速率快速增长</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而</w:t>
      </w:r>
      <w:r>
        <w:rPr>
          <w:rFonts w:ascii="Times New Roman" w:eastAsia="Times New Roman" w:hAnsi="Times New Roman" w:cs="Times New Roman"/>
          <w:color w:val="000000"/>
          <w:sz w:val="21"/>
          <w:shd w:val="clear" w:color="auto" w:fill="auto"/>
          <w:vertAlign w:val="baseline"/>
        </w:rPr>
        <w:t>CPI</w:t>
      </w:r>
      <w:r>
        <w:rPr>
          <w:rFonts w:ascii="楷体" w:eastAsia="楷体" w:hAnsi="楷体" w:cs="楷体"/>
          <w:color w:val="000000"/>
          <w:sz w:val="21"/>
          <w:shd w:val="clear" w:color="auto" w:fill="auto"/>
          <w:vertAlign w:val="baseline"/>
        </w:rPr>
        <w:t>年均上涨率不到</w:t>
      </w:r>
      <w:r>
        <w:rPr>
          <w:rFonts w:ascii="Times New Roman" w:eastAsia="Times New Roman" w:hAnsi="Times New Roman" w:cs="Times New Roman"/>
          <w:color w:val="000000"/>
          <w:sz w:val="21"/>
          <w:shd w:val="clear" w:color="auto" w:fill="auto"/>
          <w:vertAlign w:val="baseline"/>
        </w:rPr>
        <w:t>5%</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这是一个绝佳的搭配</w:t>
      </w:r>
      <w:r>
        <w:rPr>
          <w:rFonts w:ascii="楷体" w:eastAsia="楷体" w:hAnsi="楷体" w:cs="楷体"/>
          <w:color w:val="000000"/>
          <w:sz w:val="21"/>
          <w:shd w:val="clear" w:color="auto" w:fill="auto"/>
          <w:vertAlign w:val="baseline"/>
        </w:rPr>
        <w:t>。</w:t>
      </w:r>
    </w:p>
    <w:p>
      <w:pPr>
        <w:pStyle w:val="Normal54c7adfc-a473-4e13-b137-e39796456f64"/>
        <w:spacing w:line="320" w:lineRule="auto"/>
        <w:ind w:firstLine="560"/>
        <w:jc w:val="righ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摘编自张桐策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新中国为什么成功</w:t>
      </w:r>
      <w:r>
        <w:rPr>
          <w:rFonts w:ascii="楷体" w:eastAsia="楷体" w:hAnsi="楷体" w:cs="楷体"/>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根据材料一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归纳宋代矿冶业政策的内容</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根据材料二并结合所学知识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分析中华全国商会联合会成立的原因</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根据材料三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概括这一时期美国经济周期的特点</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根据材料四并结合所学知识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说明改革开放以来中国宏观调控的成就并指出其意义</w:t>
      </w:r>
      <w:r>
        <w:rPr>
          <w:rFonts w:ascii="Times New Roman" w:eastAsia="Times New Roman" w:hAnsi="Times New Roman" w:cs="Times New Roman"/>
          <w:color w:val="000000"/>
          <w:sz w:val="21"/>
          <w:shd w:val="clear" w:color="auto" w:fill="auto"/>
          <w:vertAlign w:val="baseline"/>
        </w:rPr>
        <w:t>。</w:t>
      </w:r>
    </w:p>
    <w:p>
      <w:pPr>
        <w:pStyle w:val="Normal54c7adfc-a473-4e13-b137-e39796456f64"/>
        <w:numPr>
          <w:ilvl w:val="0"/>
          <w:numId w:val="0"/>
        </w:numPr>
        <w:spacing w:line="320" w:lineRule="auto"/>
        <w:ind w:left="20"/>
        <w:jc w:val="left"/>
        <w:textAlignment w:val="center"/>
        <w:rPr>
          <w:sz w:val="21"/>
        </w:rPr>
      </w:pPr>
      <w:r>
        <w:rPr>
          <w:rFonts w:ascii="Times New Roman" w:eastAsia="Times New Roman" w:hAnsi="Times New Roman" w:cs="Times New Roman"/>
          <w:color w:val="000000"/>
          <w:sz w:val="21"/>
          <w:shd w:val="clear" w:color="auto" w:fill="auto"/>
          <w:vertAlign w:val="baseline"/>
        </w:rPr>
        <w:t>18．</w:t>
      </w:r>
      <w:r>
        <w:rPr>
          <w:rFonts w:ascii="宋体" w:eastAsia="宋体" w:hAnsi="宋体" w:cs="宋体"/>
          <w:color w:val="000000"/>
          <w:sz w:val="21"/>
          <w:shd w:val="clear" w:color="auto" w:fill="auto"/>
          <w:vertAlign w:val="baseline"/>
        </w:rPr>
        <w:t>阅读材料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ind w:left="20" w:firstLine="580"/>
        <w:jc w:val="left"/>
        <w:textAlignment w:val="center"/>
        <w:rPr>
          <w:sz w:val="21"/>
        </w:rPr>
      </w:pPr>
      <w:r>
        <w:rPr>
          <w:rFonts w:ascii="楷体" w:eastAsia="楷体" w:hAnsi="楷体" w:cs="楷体"/>
          <w:color w:val="000000"/>
          <w:sz w:val="21"/>
          <w:shd w:val="clear" w:color="auto" w:fill="auto"/>
          <w:vertAlign w:val="baseline"/>
        </w:rPr>
        <w:t>材料</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近代世界的交通网络是与其他基础设施同步建设的</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交通网络的建设</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促进了人类物质思想的频繁流动</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越来越多的人接触到了更诱人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更新鲜的事物</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在这流动的图景之中</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织工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商贩与顾客随处可见</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对技工与商贾的日渐增长的需求</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引来了越来越多的移民</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知识与思想的传播也应运而生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正如科技史学者帕梅拉</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史密斯指出的那样</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国际间的知识交流</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影响到了人们对物质的运用以及对自然世界的理解</w:t>
      </w:r>
      <w:r>
        <w:rPr>
          <w:rFonts w:ascii="楷体" w:eastAsia="楷体" w:hAnsi="楷体" w:cs="楷体"/>
          <w:color w:val="000000"/>
          <w:sz w:val="21"/>
          <w:shd w:val="clear" w:color="auto" w:fill="auto"/>
          <w:vertAlign w:val="baseline"/>
        </w:rPr>
        <w:t>。</w:t>
      </w:r>
    </w:p>
    <w:p>
      <w:pPr>
        <w:pStyle w:val="Normal54c7adfc-a473-4e13-b137-e39796456f64"/>
        <w:spacing w:line="320" w:lineRule="auto"/>
        <w:ind w:left="20" w:firstLine="580"/>
        <w:jc w:val="righ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摘自段晓琳</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尤物</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太平洋的丝绸全球史</w:t>
      </w:r>
      <w:r>
        <w:rPr>
          <w:rFonts w:ascii="楷体" w:eastAsia="楷体" w:hAnsi="楷体" w:cs="楷体"/>
          <w:color w:val="000000"/>
          <w:sz w:val="21"/>
          <w:shd w:val="clear" w:color="auto" w:fill="auto"/>
          <w:vertAlign w:val="baseline"/>
        </w:rPr>
        <w:t>》</w:t>
      </w:r>
    </w:p>
    <w:p>
      <w:pPr>
        <w:pStyle w:val="Normal54c7adfc-a473-4e13-b137-e39796456f64"/>
        <w:spacing w:line="320" w:lineRule="auto"/>
        <w:ind w:left="20"/>
        <w:jc w:val="left"/>
        <w:textAlignment w:val="center"/>
        <w:rPr>
          <w:sz w:val="21"/>
        </w:rPr>
      </w:pPr>
      <w:r>
        <w:rPr>
          <w:rFonts w:ascii="宋体" w:eastAsia="宋体" w:hAnsi="宋体" w:cs="宋体"/>
          <w:color w:val="000000"/>
          <w:sz w:val="21"/>
          <w:shd w:val="clear" w:color="auto" w:fill="auto"/>
          <w:vertAlign w:val="baseline"/>
        </w:rPr>
        <w:t>从材料中提取</w:t>
      </w:r>
      <w:r>
        <w:rPr>
          <w:rFonts w:ascii="Times New Roman" w:eastAsia="Times New Roman" w:hAnsi="Times New Roman" w:cs="Times New Roman"/>
          <w:color w:val="000000"/>
          <w:sz w:val="21"/>
          <w:shd w:val="clear" w:color="auto" w:fill="auto"/>
          <w:vertAlign w:val="baseline"/>
        </w:rPr>
        <w:t>2-3</w:t>
      </w:r>
      <w:r>
        <w:rPr>
          <w:rFonts w:ascii="宋体" w:eastAsia="宋体" w:hAnsi="宋体" w:cs="宋体"/>
          <w:color w:val="000000"/>
          <w:sz w:val="21"/>
          <w:shd w:val="clear" w:color="auto" w:fill="auto"/>
          <w:vertAlign w:val="baseline"/>
        </w:rPr>
        <w:t>个关键词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自拟一个观点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并结合所学知识进行论述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要求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观点正确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史实准确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论证充分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表达清晰</w:t>
      </w:r>
      <w:r>
        <w:rPr>
          <w:rFonts w:ascii="Times New Roman" w:eastAsia="Times New Roman" w:hAnsi="Times New Roman" w:cs="Times New Roman"/>
          <w:color w:val="000000"/>
          <w:sz w:val="21"/>
          <w:shd w:val="clear" w:color="auto" w:fill="auto"/>
          <w:vertAlign w:val="baseline"/>
        </w:rPr>
        <w:t>）</w:t>
      </w:r>
    </w:p>
    <w:p>
      <w:pPr>
        <w:pStyle w:val="subTitleStyle0bc1b321-b9e1-4579-8ed0-97d84e7374a0"/>
        <w:spacing w:before="600" w:after="600" w:afterAutospacing="0"/>
        <w:jc w:val="center"/>
      </w:pPr>
      <w:r>
        <w:br w:type="page"/>
      </w:r>
      <w:r>
        <w:t>参考答案</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】B</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秦始皇巡行刻石中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上农除末</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强调重农抑商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尊卑贵贱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不逾次行</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规范等级秩序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以明人事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合同父子</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强化家庭伦理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这些均指向社会风俗的整顿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秦朝通过政治干预巩固统治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而非重建西周等级制度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推行郡县制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且以法家为治国核心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重农抑商并非首创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商鞅变法已实践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A、C、D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】A</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南朝乐府民歌中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江陵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襄阳</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等城市及</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估客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贾客</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命名的作品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直接反映商人在城市间的流动与商业活动活跃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折射出城市商业贸易的发展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当时商人政治地位受抑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乐府民歌未创新体裁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与礼乐制度无关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B、C、D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】B</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唐文宗任命魏征五世孙魏謩为谏官时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提及贞观之治并强调</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虚怀延纳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核心意图是效仿唐太宗纳谏以求治世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而非单纯表扬魏征或彰显知人善任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此时魏謩尚未进谏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A、C、D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】D</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金世宗解散契丹猛安谋克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将其编入女真体系并鼓励通婚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旨在促进契丹与女真的融合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而非改革猛安谋克制度本身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经济开发与人口增长非主要目的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A、B、C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】A</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题干描述嘉靖帝通过多次廷议解决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大礼议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争议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最终自行裁定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反映廷议作为决策程序的存在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但皇帝仍掌握最终决定权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这说明廷议仍是制度化的议事环节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中央决策机构相对规范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符合题意</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嘉靖帝的行为打破原有礼制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而非强化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材料强调的是决策程序的相对规范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未涉及行政体系完善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内阁仅为顾问机构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无决策权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6．</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】D</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明末清初江南长青村以织网业为核心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形成渔具制造中心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从业者脱离农业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集中生产且利润丰厚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隐含分工协作或雇佣关系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体现新的经营方式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自然经济瓦解始于鸦片战争后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工商业集镇宋代已兴起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材料核心是手工业而非渔业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A、B、C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7．</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】B</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w:t>
      </w:r>
      <w:r>
        <w:rPr>
          <w:rFonts w:ascii="Times New Roman" w:eastAsia="Times New Roman" w:hAnsi="Times New Roman" w:cs="Times New Roman"/>
          <w:color w:val="000000"/>
          <w:sz w:val="21"/>
          <w:shd w:val="clear" w:color="auto" w:fill="auto"/>
          <w:vertAlign w:val="baseline"/>
        </w:rPr>
        <w:t>“1905</w:t>
      </w:r>
      <w:r>
        <w:rPr>
          <w:rFonts w:ascii="宋体" w:eastAsia="宋体" w:hAnsi="宋体" w:cs="宋体"/>
          <w:color w:val="000000"/>
          <w:sz w:val="21"/>
          <w:shd w:val="clear" w:color="auto" w:fill="auto"/>
          <w:vertAlign w:val="baseline"/>
        </w:rPr>
        <w:t>年四川总督锡良开始创办中等学堂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这些学堂大都由原来的书院改名设立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清末新政时期各地兴办新式学堂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四川通过改制旧书院和创办实业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师范学堂推动新式教育发展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表明学堂已成为新式教育推进的主导力量</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城乡学堂林立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可知私人办学并未被遏制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由原来的书院改名设立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可知传统教育方式仍有一定延续性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国民教育体系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需涵盖各级教育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材料仅涉及中等及实业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师范学堂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未体现完整体系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8．</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】C</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聚沙成塔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聚沙成塔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为成语典故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强调微小积累可成宏大成果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直接呼应储蓄业务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积少成多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的核心功能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上海商业储蓄银行广告以</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聚沙成塔</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隐喻储蓄积少成多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核心目的是宣传储蓄理念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共和万岁</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借国庆增强亲和力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未强调个人与社会关系或渲染焦虑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A、B、D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9．</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】B</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日本国会议员公腰喜助等应邀到访北京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返日后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他们把周恩来总理赠送的电影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白毛女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在各地巡回放映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受到热烈欢迎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之后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日本艺术家松山树子将其改编成芭蕾舞剧在日本演出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这一事件反映了中国通过民间外交形式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赠送电影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文化交流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推动中日友好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取得积极效果</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材料仅体现部分日本议员和艺术家的活动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无法体现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社会各界普遍愿望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据所学知识可知</w:t>
      </w:r>
      <w:r>
        <w:rPr>
          <w:rFonts w:ascii="Times New Roman" w:eastAsia="Times New Roman" w:hAnsi="Times New Roman" w:cs="Times New Roman"/>
          <w:color w:val="000000"/>
          <w:sz w:val="21"/>
          <w:shd w:val="clear" w:color="auto" w:fill="auto"/>
          <w:vertAlign w:val="baseline"/>
        </w:rPr>
        <w:t>，1952</w:t>
      </w:r>
      <w:r>
        <w:rPr>
          <w:rFonts w:ascii="宋体" w:eastAsia="宋体" w:hAnsi="宋体" w:cs="宋体"/>
          <w:color w:val="000000"/>
          <w:sz w:val="21"/>
          <w:shd w:val="clear" w:color="auto" w:fill="auto"/>
          <w:vertAlign w:val="baseline"/>
        </w:rPr>
        <w:t>年中日政府关系尚未破冰</w:t>
      </w:r>
      <w:r>
        <w:rPr>
          <w:rFonts w:ascii="Times New Roman" w:eastAsia="Times New Roman" w:hAnsi="Times New Roman" w:cs="Times New Roman"/>
          <w:color w:val="000000"/>
          <w:sz w:val="21"/>
          <w:shd w:val="clear" w:color="auto" w:fill="auto"/>
          <w:vertAlign w:val="baseline"/>
        </w:rPr>
        <w:t>（1972</w:t>
      </w:r>
      <w:r>
        <w:rPr>
          <w:rFonts w:ascii="宋体" w:eastAsia="宋体" w:hAnsi="宋体" w:cs="宋体"/>
          <w:color w:val="000000"/>
          <w:sz w:val="21"/>
          <w:shd w:val="clear" w:color="auto" w:fill="auto"/>
          <w:vertAlign w:val="baseline"/>
        </w:rPr>
        <w:t>年才建交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双百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方针提出于</w:t>
      </w:r>
      <w:r>
        <w:rPr>
          <w:rFonts w:ascii="Times New Roman" w:eastAsia="Times New Roman" w:hAnsi="Times New Roman" w:cs="Times New Roman"/>
          <w:color w:val="000000"/>
          <w:sz w:val="21"/>
          <w:shd w:val="clear" w:color="auto" w:fill="auto"/>
          <w:vertAlign w:val="baseline"/>
        </w:rPr>
        <w:t>1956</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与材料时间不符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10．</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】A</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雅典公民权具有排他性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仅属于本邦成年男性自由民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材料中公民大会在危机时暂时放宽公民权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危机解除后立即收回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体现了公民群体对特权的本能维护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不愿外邦人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奴隶分享政治权利与社会地位</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材料未提及公民兵拒绝服役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而是强调雅典通过扩大公民群体补充兵力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公民大会的决策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先授后废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本质上是基于现实利益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危机应对与特权维护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的权衡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而非民主制度本身的缺陷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雅典奴隶制是城邦经济的基础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解放奴隶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仅为战时应急措施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并非否定奴隶制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废除法令恰恰说明奴隶制仍符合公民群体的根本利益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11．</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】A</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xml:space="preserve">15 </w:t>
      </w:r>
      <w:r>
        <w:rPr>
          <w:rFonts w:ascii="宋体" w:eastAsia="宋体" w:hAnsi="宋体" w:cs="宋体"/>
          <w:color w:val="000000"/>
          <w:sz w:val="21"/>
          <w:shd w:val="clear" w:color="auto" w:fill="auto"/>
          <w:vertAlign w:val="baseline"/>
        </w:rPr>
        <w:t>世纪意大利</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圣经人文主义</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学派通过研究古希腊文与希伯来文原版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圣经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纠正拉丁文版本谬误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动摇教会神学文本基础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w:t>
      </w:r>
      <w:r>
        <w:rPr>
          <w:rFonts w:ascii="Times New Roman" w:eastAsia="Times New Roman" w:hAnsi="Times New Roman" w:cs="Times New Roman"/>
          <w:color w:val="000000"/>
          <w:sz w:val="21"/>
          <w:shd w:val="clear" w:color="auto" w:fill="auto"/>
          <w:vertAlign w:val="baseline"/>
        </w:rPr>
        <w:t xml:space="preserve"> 16 </w:t>
      </w:r>
      <w:r>
        <w:rPr>
          <w:rFonts w:ascii="宋体" w:eastAsia="宋体" w:hAnsi="宋体" w:cs="宋体"/>
          <w:color w:val="000000"/>
          <w:sz w:val="21"/>
          <w:shd w:val="clear" w:color="auto" w:fill="auto"/>
          <w:vertAlign w:val="baseline"/>
        </w:rPr>
        <w:t>世纪宗教改革提供方法论与思想武器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奠定其基础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活动旨在纠正文本而非完善神学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是人文主义在宗教领域的延伸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削弱了教会权威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A、B、C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12．</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】D</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，15</w:t>
      </w:r>
      <w:r>
        <w:rPr>
          <w:rFonts w:ascii="宋体" w:eastAsia="宋体" w:hAnsi="宋体" w:cs="宋体"/>
          <w:color w:val="000000"/>
          <w:sz w:val="21"/>
          <w:shd w:val="clear" w:color="auto" w:fill="auto"/>
          <w:vertAlign w:val="baseline"/>
        </w:rPr>
        <w:t>世纪中期的意大利正值文艺复兴鼎盛期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人文主义思潮从世俗领域向宗教领域渗透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圣经人文主义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学派主张以人文主义的文本批判方法研究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圣经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拉丁文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圣经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是中世纪教会神学的文本基础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教会通过垄断其解释权强化宗教权威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而圣经人文主义者指出其谬误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动摇了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拉丁文版本绝对正确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的信仰前提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由此可见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圣经人文主义者的文本批判为马丁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路德等改革者提供了方法论基础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如原始文本研究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和思想武器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如质疑教会权威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奠定了</w:t>
      </w:r>
      <w:r>
        <w:rPr>
          <w:rFonts w:ascii="Times New Roman" w:eastAsia="Times New Roman" w:hAnsi="Times New Roman" w:cs="Times New Roman"/>
          <w:color w:val="000000"/>
          <w:sz w:val="21"/>
          <w:shd w:val="clear" w:color="auto" w:fill="auto"/>
          <w:vertAlign w:val="baseline"/>
        </w:rPr>
        <w:t>16</w:t>
      </w:r>
      <w:r>
        <w:rPr>
          <w:rFonts w:ascii="宋体" w:eastAsia="宋体" w:hAnsi="宋体" w:cs="宋体"/>
          <w:color w:val="000000"/>
          <w:sz w:val="21"/>
          <w:shd w:val="clear" w:color="auto" w:fill="auto"/>
          <w:vertAlign w:val="baseline"/>
        </w:rPr>
        <w:t>世纪宗教改革运动的基础</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圣经人文主义者的目的是纠正文本谬误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天主教神学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文艺复兴的核心是通过复兴古典文化追求真理与理性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圣经人文主义者研究原始文本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倡导文本批判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正是人文主义方法在宗教领域的延伸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并未偏离其方向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揭露拉丁文圣经的错误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使信徒对教会长期使用的文本产生怀疑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实则削弱了教会权威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13．</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】C</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xml:space="preserve">17 </w:t>
      </w:r>
      <w:r>
        <w:rPr>
          <w:rFonts w:ascii="宋体" w:eastAsia="宋体" w:hAnsi="宋体" w:cs="宋体"/>
          <w:color w:val="000000"/>
          <w:sz w:val="21"/>
          <w:shd w:val="clear" w:color="auto" w:fill="auto"/>
          <w:vertAlign w:val="baseline"/>
        </w:rPr>
        <w:t>世纪英国试图通过颁发捕鱼许可证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争夺被荷兰垄断的北海鲱鱼资源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反映欧洲列强围绕海洋利益的激烈纷争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荷兰对英国政策不满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说明海洋自由非共识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英国未主导规则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材料无法直接推导荷兰霸主地位衰落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A、B、D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14．</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】B</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双方承认彼此是企业主和工人唯一的合法代表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工人和企业主的一切合同只能由上述两家联合会及其所辖组织签订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法西斯政权通过垄断劳资谈判权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将工会和资本家组织纳入国家控制体系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本质是强化极权统治</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协议主要是法西斯政权加强社会控制的措施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未涉及工人待遇的具体改善措施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法西斯职团主义本质是压制劳工权利而非促进合作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协议剥夺了工人自主组织工会的权利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15．</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】D</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根据材料及所学可知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板球作为英国殖民文化符号传入印度</w:t>
      </w:r>
      <w:r>
        <w:rPr>
          <w:rFonts w:ascii="Times New Roman" w:eastAsia="Times New Roman" w:hAnsi="Times New Roman" w:cs="Times New Roman"/>
          <w:color w:val="000000"/>
          <w:sz w:val="21"/>
          <w:shd w:val="clear" w:color="auto" w:fill="auto"/>
          <w:vertAlign w:val="baseline"/>
        </w:rPr>
        <w:t xml:space="preserve">，1971 </w:t>
      </w:r>
      <w:r>
        <w:rPr>
          <w:rFonts w:ascii="宋体" w:eastAsia="宋体" w:hAnsi="宋体" w:cs="宋体"/>
          <w:color w:val="000000"/>
          <w:sz w:val="21"/>
          <w:shd w:val="clear" w:color="auto" w:fill="auto"/>
          <w:vertAlign w:val="baseline"/>
        </w:rPr>
        <w:t>年印度队击败英国后民众狂欢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反映板球已成为印度民族情感的载体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胜利被视为民族尊严的胜利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单次赛事胜利不能说明体育水平超越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材料未提及体育摆脱控制或瓦解种姓制度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 xml:space="preserve"> A、B、C </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center"/>
        <w:textAlignment w:val="center"/>
        <w:rPr>
          <w:rFonts w:ascii="黑体" w:eastAsia="黑体" w:hAnsi="黑体" w:cs="黑体"/>
          <w:b/>
          <w:i w:val="0"/>
          <w:color w:val="000000"/>
          <w:sz w:val="30"/>
        </w:rPr>
      </w:pP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16．</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原则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战争交锋应贯彻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原则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对有国丧及发生灾害的国家不得发动战争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不在国丧和灾荒期间发动战争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战争不得屠杀无辜百姓</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目的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社会秩序维度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破坏大后方经济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扰乱大后方社会秩序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民众思想维度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破坏大后方人民正常生活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摧毁中国人民继续抗战的意志和决心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政府维度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破坏中国抗战前途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迫使中国政府投降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手段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无差别轰炸</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主要内容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维持正常家庭生活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保障人身安全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信仰与健康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意义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有利于约束战争中的非人道行为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维护世界和平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为冲突中的平民提供法律保障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彰显人类对战争残酷性的约束意识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成为现代国际法的重要组成部分</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原则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宋楚泓水之战中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宋襄公因未能听取属下建议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利用楚军渡河以及未摆好阵型的机会发动进攻而战败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寡人虽亡国之余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不鼓不成列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战争交锋应贯彻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原则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战争的发动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不加丧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不因凶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灾荒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楚人将伐陈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问丧乃止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对有国丧及发生灾害的国家不得发动战争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不在国丧和灾荒期间发动战争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凡诛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非诛其百姓也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诛乱百姓者也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战争不得屠杀无辜百姓</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目的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社会秩序维度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由材料二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企图吾同胞于流离失所之中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减少生产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妨害我社会之安宁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妄想扰吾之秩序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破坏大后方经济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扰乱大后方社会秩序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民众思想维度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由材料二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断绝吾同胞之生活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威胁吾全国民众抗战之精神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希冀吾同胞之屈膝投降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破坏大后方人民正常生活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摧毁中国人民继续抗战的意志和决心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政府维度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由材料二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影响抗战之前途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希冀吾同胞之屈膝投降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破坏中国抗战前途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迫使中国政府投降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手段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由材料二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全面抗战时期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侵华日军集中主要航空兵力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对以重庆为中心的后方城市进行了长时间的轰炸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不断的轰炸威胁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猛烈之轰炸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集中的轰炸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无差别轰炸</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主要内容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由材料三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必须被允许以私人方式传递家庭信息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被协助获知冲突中失散家庭成员的信息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都应家庭团聚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并为之提供便利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使正常家庭生活得以进行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维持正常家庭生活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由材料三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受伤或患病的平民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新月组织的保护之下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受保护平民不能被用于人体盾牌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不能被施以任何集体惩罚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不人道之对待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必须被允许依照自身的信仰来进行宗教活动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保障人身安全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信仰与健康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意义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由材料三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受保护平民必须被允许以私人方式传递家庭信息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并被协助获知冲突中失散家庭成员的信息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他们也必须被允许依照自身的信仰来进行宗教活动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不管何地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只要可能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受保护的平民都应家庭团聚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并为之提供便利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使正常家庭生活得以进行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受伤或患病的平民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民用医院和医护人员都必须被特别对待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并置于红十字或新月组织的保护之下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受保护平民不能被用于人体盾牌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也不能被施以任何集体惩罚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酷刑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伤残或其他不人道之对待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及所学可得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日内瓦公约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对战时平民权利的规定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是为了维护国际和平与安全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尽可能减少战争带来的灾难和损失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有利于约束战争中的非人道行为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维护世界和平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结合所学可得出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日内瓦公约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为冲突中的平民提供法律保障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彰显人类对战争残酷性的约束意识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成为现代国际法的重要组成部分</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17．</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内容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鼓励民间勘察矿产资源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鼓励民间报告矿产资源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扶持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鼓励民间开采冶炼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严格控制矿产品交易</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原因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商战的需要维度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抵制列强的经济侵略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抵制列强侵略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挽救民族危机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反对封建官吏的压迫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商界的努力维度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各地商会的成立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奠定了基础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有识之士的推动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政府的支持维度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刘揆一的推动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民国政府的支持</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特点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美国的经济周期产生有内源性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经济周期缩短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经济波动频繁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金融危机多为经济衰退诱因</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成就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经济健康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持续增长</w:t>
      </w:r>
      <w:r>
        <w:rPr>
          <w:rFonts w:ascii="Times New Roman" w:eastAsia="Times New Roman" w:hAnsi="Times New Roman" w:cs="Times New Roman"/>
          <w:color w:val="000000"/>
          <w:sz w:val="21"/>
          <w:shd w:val="clear" w:color="auto" w:fill="auto"/>
          <w:vertAlign w:val="baseline"/>
        </w:rPr>
        <w:t>（GDP</w:t>
      </w:r>
      <w:r>
        <w:rPr>
          <w:rFonts w:ascii="宋体" w:eastAsia="宋体" w:hAnsi="宋体" w:cs="宋体"/>
          <w:color w:val="000000"/>
          <w:sz w:val="21"/>
          <w:shd w:val="clear" w:color="auto" w:fill="auto"/>
          <w:vertAlign w:val="baseline"/>
        </w:rPr>
        <w:t>快速增长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物价基本稳定</w:t>
      </w:r>
      <w:r>
        <w:rPr>
          <w:rFonts w:ascii="Times New Roman" w:eastAsia="Times New Roman" w:hAnsi="Times New Roman" w:cs="Times New Roman"/>
          <w:color w:val="000000"/>
          <w:sz w:val="21"/>
          <w:shd w:val="clear" w:color="auto" w:fill="auto"/>
          <w:vertAlign w:val="baseline"/>
        </w:rPr>
        <w:t>（CPI</w:t>
      </w:r>
      <w:r>
        <w:rPr>
          <w:rFonts w:ascii="宋体" w:eastAsia="宋体" w:hAnsi="宋体" w:cs="宋体"/>
          <w:color w:val="000000"/>
          <w:sz w:val="21"/>
          <w:shd w:val="clear" w:color="auto" w:fill="auto"/>
          <w:vertAlign w:val="baseline"/>
        </w:rPr>
        <w:t>总体稳定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意义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有利于社会主义市场经济健康运行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推进了全面深化改革</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由材料一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应告发铜坑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依条赏格酬奖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地主或发现者拥有优先开采冶炼的权利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鼓励民间勘察矿产资源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鼓励民间报告矿产资源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炉户卖铜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每挺收克钱五文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地主或发现者拥有优先开采冶炼的权利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可私下把开采权租赁给别人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缺乏开采资金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政府还可提供贷款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扶持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鼓励民间开采冶炼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矿产品的交易活动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除金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铁的一部分允许私人参与外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其余部分及铜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铝</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锡等基本上由政府包揽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也就是私人矿治产品在交税外的绝大多数必须出售给政府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严格控制矿产品交易</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商战的需要维度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结合所学近代中国的国情及商业发展的相关史实可得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由于中国半殖民地半封建社会的国情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中国的商业发展始终受到制约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所以导致商界具有反帝反封建的强烈愿望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具体表现为抵制列强的经济侵略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抵制列强侵略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挽救民族危机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反对封建官吏的压迫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商界的努力维度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由材料二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各地商会相继成立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各地商会的成立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奠定了基础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由材料二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上海商务总会与海内外各埠商会的不懈努力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上海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汉口商会草拟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全国商会联合会章程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得到与会海内外</w:t>
      </w:r>
      <w:r>
        <w:rPr>
          <w:rFonts w:ascii="Times New Roman" w:eastAsia="Times New Roman" w:hAnsi="Times New Roman" w:cs="Times New Roman"/>
          <w:color w:val="000000"/>
          <w:sz w:val="21"/>
          <w:shd w:val="clear" w:color="auto" w:fill="auto"/>
          <w:vertAlign w:val="baseline"/>
        </w:rPr>
        <w:t>45</w:t>
      </w:r>
      <w:r>
        <w:rPr>
          <w:rFonts w:ascii="宋体" w:eastAsia="宋体" w:hAnsi="宋体" w:cs="宋体"/>
          <w:color w:val="000000"/>
          <w:sz w:val="21"/>
          <w:shd w:val="clear" w:color="auto" w:fill="auto"/>
          <w:vertAlign w:val="baseline"/>
        </w:rPr>
        <w:t>个商会的赞同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有识之士的推动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政府的支持维度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由材料二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刘揆一出任工商总长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召开全国工商会议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刘揆一的推动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民国政府的支持</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由材料三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美国共出现了</w:t>
      </w:r>
      <w:r>
        <w:rPr>
          <w:rFonts w:ascii="Times New Roman" w:eastAsia="Times New Roman" w:hAnsi="Times New Roman" w:cs="Times New Roman"/>
          <w:color w:val="000000"/>
          <w:sz w:val="21"/>
          <w:shd w:val="clear" w:color="auto" w:fill="auto"/>
          <w:vertAlign w:val="baseline"/>
        </w:rPr>
        <w:t>17</w:t>
      </w:r>
      <w:r>
        <w:rPr>
          <w:rFonts w:ascii="宋体" w:eastAsia="宋体" w:hAnsi="宋体" w:cs="宋体"/>
          <w:color w:val="000000"/>
          <w:sz w:val="21"/>
          <w:shd w:val="clear" w:color="auto" w:fill="auto"/>
          <w:vertAlign w:val="baseline"/>
        </w:rPr>
        <w:t>个经济周期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其中</w:t>
      </w:r>
      <w:r>
        <w:rPr>
          <w:rFonts w:ascii="Times New Roman" w:eastAsia="Times New Roman" w:hAnsi="Times New Roman" w:cs="Times New Roman"/>
          <w:color w:val="000000"/>
          <w:sz w:val="21"/>
          <w:shd w:val="clear" w:color="auto" w:fill="auto"/>
          <w:vertAlign w:val="baseline"/>
        </w:rPr>
        <w:t>11</w:t>
      </w:r>
      <w:r>
        <w:rPr>
          <w:rFonts w:ascii="宋体" w:eastAsia="宋体" w:hAnsi="宋体" w:cs="宋体"/>
          <w:color w:val="000000"/>
          <w:sz w:val="21"/>
          <w:shd w:val="clear" w:color="auto" w:fill="auto"/>
          <w:vertAlign w:val="baseline"/>
        </w:rPr>
        <w:t>个为美国独有</w:t>
      </w:r>
      <w:r>
        <w:rPr>
          <w:rFonts w:ascii="Times New Roman" w:eastAsia="Times New Roman" w:hAnsi="Times New Roman" w:cs="Times New Roman"/>
          <w:color w:val="000000"/>
          <w:sz w:val="21"/>
          <w:shd w:val="clear" w:color="auto" w:fill="auto"/>
          <w:vertAlign w:val="baseline"/>
        </w:rPr>
        <w:t>”、“6</w:t>
      </w:r>
      <w:r>
        <w:rPr>
          <w:rFonts w:ascii="宋体" w:eastAsia="宋体" w:hAnsi="宋体" w:cs="宋体"/>
          <w:color w:val="000000"/>
          <w:sz w:val="21"/>
          <w:shd w:val="clear" w:color="auto" w:fill="auto"/>
          <w:vertAlign w:val="baseline"/>
        </w:rPr>
        <w:t>个世界性经济周期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w:t>
      </w: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次衰退爆发的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震源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震中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都是美国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美国的经济周期产生有内源性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由材料三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经济周期的平均长度约为</w:t>
      </w:r>
      <w:r>
        <w:rPr>
          <w:rFonts w:ascii="Times New Roman" w:eastAsia="Times New Roman" w:hAnsi="Times New Roman" w:cs="Times New Roman"/>
          <w:color w:val="000000"/>
          <w:sz w:val="21"/>
          <w:shd w:val="clear" w:color="auto" w:fill="auto"/>
          <w:vertAlign w:val="baseline"/>
        </w:rPr>
        <w:t>48</w:t>
      </w:r>
      <w:r>
        <w:rPr>
          <w:rFonts w:ascii="宋体" w:eastAsia="宋体" w:hAnsi="宋体" w:cs="宋体"/>
          <w:color w:val="000000"/>
          <w:sz w:val="21"/>
          <w:shd w:val="clear" w:color="auto" w:fill="auto"/>
          <w:vertAlign w:val="baseline"/>
        </w:rPr>
        <w:t>个月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较第一次产业革命时缩短了</w:t>
      </w: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个月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经济周期缩短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经济波动频繁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由材料三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由于过度投机导致金融恐慌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而诱发和深化的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金融业危机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世界性经济危机中达到顶峰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金融危机多为经济衰退诱因</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成就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由材料四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改革开放</w:t>
      </w:r>
      <w:r>
        <w:rPr>
          <w:rFonts w:ascii="Times New Roman" w:eastAsia="Times New Roman" w:hAnsi="Times New Roman" w:cs="Times New Roman"/>
          <w:color w:val="000000"/>
          <w:sz w:val="21"/>
          <w:shd w:val="clear" w:color="auto" w:fill="auto"/>
          <w:vertAlign w:val="baseline"/>
        </w:rPr>
        <w:t>40</w:t>
      </w:r>
      <w:r>
        <w:rPr>
          <w:rFonts w:ascii="宋体" w:eastAsia="宋体" w:hAnsi="宋体" w:cs="宋体"/>
          <w:color w:val="000000"/>
          <w:sz w:val="21"/>
          <w:shd w:val="clear" w:color="auto" w:fill="auto"/>
          <w:vertAlign w:val="baseline"/>
        </w:rPr>
        <w:t>年来中国经济每年都在增长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没有一年出现负增长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最低年份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增长率也达</w:t>
      </w:r>
      <w:r>
        <w:rPr>
          <w:rFonts w:ascii="Times New Roman" w:eastAsia="Times New Roman" w:hAnsi="Times New Roman" w:cs="Times New Roman"/>
          <w:color w:val="000000"/>
          <w:sz w:val="21"/>
          <w:shd w:val="clear" w:color="auto" w:fill="auto"/>
          <w:vertAlign w:val="baseline"/>
        </w:rPr>
        <w:t>3.9%（1990</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）”、“GDP</w:t>
      </w:r>
      <w:r>
        <w:rPr>
          <w:rFonts w:ascii="宋体" w:eastAsia="宋体" w:hAnsi="宋体" w:cs="宋体"/>
          <w:color w:val="000000"/>
          <w:sz w:val="21"/>
          <w:shd w:val="clear" w:color="auto" w:fill="auto"/>
          <w:vertAlign w:val="baseline"/>
        </w:rPr>
        <w:t>以年均</w:t>
      </w:r>
      <w:r>
        <w:rPr>
          <w:rFonts w:ascii="Times New Roman" w:eastAsia="Times New Roman" w:hAnsi="Times New Roman" w:cs="Times New Roman"/>
          <w:color w:val="000000"/>
          <w:sz w:val="21"/>
          <w:shd w:val="clear" w:color="auto" w:fill="auto"/>
          <w:vertAlign w:val="baseline"/>
        </w:rPr>
        <w:t>9.5%</w:t>
      </w:r>
      <w:r>
        <w:rPr>
          <w:rFonts w:ascii="宋体" w:eastAsia="宋体" w:hAnsi="宋体" w:cs="宋体"/>
          <w:color w:val="000000"/>
          <w:sz w:val="21"/>
          <w:shd w:val="clear" w:color="auto" w:fill="auto"/>
          <w:vertAlign w:val="baseline"/>
        </w:rPr>
        <w:t>的速率快速增长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经济健康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持续增长</w:t>
      </w:r>
      <w:r>
        <w:rPr>
          <w:rFonts w:ascii="Times New Roman" w:eastAsia="Times New Roman" w:hAnsi="Times New Roman" w:cs="Times New Roman"/>
          <w:color w:val="000000"/>
          <w:sz w:val="21"/>
          <w:shd w:val="clear" w:color="auto" w:fill="auto"/>
          <w:vertAlign w:val="baseline"/>
        </w:rPr>
        <w:t>（GDP</w:t>
      </w:r>
      <w:r>
        <w:rPr>
          <w:rFonts w:ascii="宋体" w:eastAsia="宋体" w:hAnsi="宋体" w:cs="宋体"/>
          <w:color w:val="000000"/>
          <w:sz w:val="21"/>
          <w:shd w:val="clear" w:color="auto" w:fill="auto"/>
          <w:vertAlign w:val="baseline"/>
        </w:rPr>
        <w:t>快速增长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由材料四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虽然出现过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但较快得到有效控制和治理</w:t>
      </w:r>
      <w:r>
        <w:rPr>
          <w:rFonts w:ascii="Times New Roman" w:eastAsia="Times New Roman" w:hAnsi="Times New Roman" w:cs="Times New Roman"/>
          <w:color w:val="000000"/>
          <w:sz w:val="21"/>
          <w:shd w:val="clear" w:color="auto" w:fill="auto"/>
          <w:vertAlign w:val="baseline"/>
        </w:rPr>
        <w:t>”、“1995</w:t>
      </w:r>
      <w:r>
        <w:rPr>
          <w:rFonts w:ascii="宋体" w:eastAsia="宋体" w:hAnsi="宋体" w:cs="宋体"/>
          <w:color w:val="000000"/>
          <w:sz w:val="21"/>
          <w:shd w:val="clear" w:color="auto" w:fill="auto"/>
          <w:vertAlign w:val="baseline"/>
        </w:rPr>
        <w:t>年以后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没有再出现</w:t>
      </w:r>
      <w:r>
        <w:rPr>
          <w:rFonts w:ascii="Times New Roman" w:eastAsia="Times New Roman" w:hAnsi="Times New Roman" w:cs="Times New Roman"/>
          <w:color w:val="000000"/>
          <w:sz w:val="21"/>
          <w:shd w:val="clear" w:color="auto" w:fill="auto"/>
          <w:vertAlign w:val="baseline"/>
        </w:rPr>
        <w:t>CPI</w:t>
      </w:r>
      <w:r>
        <w:rPr>
          <w:rFonts w:ascii="宋体" w:eastAsia="宋体" w:hAnsi="宋体" w:cs="宋体"/>
          <w:color w:val="000000"/>
          <w:sz w:val="21"/>
          <w:shd w:val="clear" w:color="auto" w:fill="auto"/>
          <w:vertAlign w:val="baseline"/>
        </w:rPr>
        <w:t>两位数的上涨</w:t>
      </w:r>
      <w:r>
        <w:rPr>
          <w:rFonts w:ascii="Times New Roman" w:eastAsia="Times New Roman" w:hAnsi="Times New Roman" w:cs="Times New Roman"/>
          <w:color w:val="000000"/>
          <w:sz w:val="21"/>
          <w:shd w:val="clear" w:color="auto" w:fill="auto"/>
          <w:vertAlign w:val="baseline"/>
        </w:rPr>
        <w:t>”、“CPI</w:t>
      </w:r>
      <w:r>
        <w:rPr>
          <w:rFonts w:ascii="宋体" w:eastAsia="宋体" w:hAnsi="宋体" w:cs="宋体"/>
          <w:color w:val="000000"/>
          <w:sz w:val="21"/>
          <w:shd w:val="clear" w:color="auto" w:fill="auto"/>
          <w:vertAlign w:val="baseline"/>
        </w:rPr>
        <w:t>年均上涨率不到</w:t>
      </w:r>
      <w:r>
        <w:rPr>
          <w:rFonts w:ascii="Times New Roman" w:eastAsia="Times New Roman" w:hAnsi="Times New Roman" w:cs="Times New Roman"/>
          <w:color w:val="000000"/>
          <w:sz w:val="21"/>
          <w:shd w:val="clear" w:color="auto" w:fill="auto"/>
          <w:vertAlign w:val="baseline"/>
        </w:rPr>
        <w:t>5%”</w:t>
      </w:r>
      <w:r>
        <w:rPr>
          <w:rFonts w:ascii="宋体" w:eastAsia="宋体" w:hAnsi="宋体" w:cs="宋体"/>
          <w:color w:val="000000"/>
          <w:sz w:val="21"/>
          <w:shd w:val="clear" w:color="auto" w:fill="auto"/>
          <w:vertAlign w:val="baseline"/>
        </w:rPr>
        <w:t>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物价基本稳定</w:t>
      </w:r>
      <w:r>
        <w:rPr>
          <w:rFonts w:ascii="Times New Roman" w:eastAsia="Times New Roman" w:hAnsi="Times New Roman" w:cs="Times New Roman"/>
          <w:color w:val="000000"/>
          <w:sz w:val="21"/>
          <w:shd w:val="clear" w:color="auto" w:fill="auto"/>
          <w:vertAlign w:val="baseline"/>
        </w:rPr>
        <w:t>（CPI</w:t>
      </w:r>
      <w:r>
        <w:rPr>
          <w:rFonts w:ascii="宋体" w:eastAsia="宋体" w:hAnsi="宋体" w:cs="宋体"/>
          <w:color w:val="000000"/>
          <w:sz w:val="21"/>
          <w:shd w:val="clear" w:color="auto" w:fill="auto"/>
          <w:vertAlign w:val="baseline"/>
        </w:rPr>
        <w:t>总体稳定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意义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由材料四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改革开发</w:t>
      </w:r>
      <w:r>
        <w:rPr>
          <w:rFonts w:ascii="Times New Roman" w:eastAsia="Times New Roman" w:hAnsi="Times New Roman" w:cs="Times New Roman"/>
          <w:color w:val="000000"/>
          <w:sz w:val="21"/>
          <w:shd w:val="clear" w:color="auto" w:fill="auto"/>
          <w:vertAlign w:val="baseline"/>
        </w:rPr>
        <w:t>40</w:t>
      </w:r>
      <w:r>
        <w:rPr>
          <w:rFonts w:ascii="宋体" w:eastAsia="宋体" w:hAnsi="宋体" w:cs="宋体"/>
          <w:color w:val="000000"/>
          <w:sz w:val="21"/>
          <w:shd w:val="clear" w:color="auto" w:fill="auto"/>
          <w:vertAlign w:val="baseline"/>
        </w:rPr>
        <w:t>年来中国经济每年都在增长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没有一年出现负增长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而且最低年份的</w:t>
      </w:r>
      <w:r>
        <w:rPr>
          <w:rFonts w:ascii="Times New Roman" w:eastAsia="Times New Roman" w:hAnsi="Times New Roman" w:cs="Times New Roman"/>
          <w:color w:val="000000"/>
          <w:sz w:val="21"/>
          <w:shd w:val="clear" w:color="auto" w:fill="auto"/>
          <w:vertAlign w:val="baseline"/>
        </w:rPr>
        <w:t>GDP（</w:t>
      </w:r>
      <w:r>
        <w:rPr>
          <w:rFonts w:ascii="宋体" w:eastAsia="宋体" w:hAnsi="宋体" w:cs="宋体"/>
          <w:color w:val="000000"/>
          <w:sz w:val="21"/>
          <w:shd w:val="clear" w:color="auto" w:fill="auto"/>
          <w:vertAlign w:val="baseline"/>
        </w:rPr>
        <w:t>国内生产总值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增长率也达</w:t>
      </w:r>
      <w:r>
        <w:rPr>
          <w:rFonts w:ascii="Times New Roman" w:eastAsia="Times New Roman" w:hAnsi="Times New Roman" w:cs="Times New Roman"/>
          <w:color w:val="000000"/>
          <w:sz w:val="21"/>
          <w:shd w:val="clear" w:color="auto" w:fill="auto"/>
          <w:vertAlign w:val="baseline"/>
        </w:rPr>
        <w:t>3．9%（1990</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虽然出现过</w:t>
      </w: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次</w:t>
      </w:r>
      <w:r>
        <w:rPr>
          <w:rFonts w:ascii="Times New Roman" w:eastAsia="Times New Roman" w:hAnsi="Times New Roman" w:cs="Times New Roman"/>
          <w:color w:val="000000"/>
          <w:sz w:val="21"/>
          <w:shd w:val="clear" w:color="auto" w:fill="auto"/>
          <w:vertAlign w:val="baseline"/>
        </w:rPr>
        <w:t>（1988-1989</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,1993-1995</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两位数的</w:t>
      </w:r>
      <w:r>
        <w:rPr>
          <w:rFonts w:ascii="Times New Roman" w:eastAsia="Times New Roman" w:hAnsi="Times New Roman" w:cs="Times New Roman"/>
          <w:color w:val="000000"/>
          <w:sz w:val="21"/>
          <w:shd w:val="clear" w:color="auto" w:fill="auto"/>
          <w:vertAlign w:val="baseline"/>
        </w:rPr>
        <w:t>CPI（</w:t>
      </w:r>
      <w:r>
        <w:rPr>
          <w:rFonts w:ascii="宋体" w:eastAsia="宋体" w:hAnsi="宋体" w:cs="宋体"/>
          <w:color w:val="000000"/>
          <w:sz w:val="21"/>
          <w:shd w:val="clear" w:color="auto" w:fill="auto"/>
          <w:vertAlign w:val="baseline"/>
        </w:rPr>
        <w:t>居民消费价格指数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上涨率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但较快得到有效控制和治理</w:t>
      </w:r>
      <w:r>
        <w:rPr>
          <w:rFonts w:ascii="Times New Roman" w:eastAsia="Times New Roman" w:hAnsi="Times New Roman" w:cs="Times New Roman"/>
          <w:color w:val="000000"/>
          <w:sz w:val="21"/>
          <w:shd w:val="clear" w:color="auto" w:fill="auto"/>
          <w:vertAlign w:val="baseline"/>
        </w:rPr>
        <w:t>，1995</w:t>
      </w:r>
      <w:r>
        <w:rPr>
          <w:rFonts w:ascii="宋体" w:eastAsia="宋体" w:hAnsi="宋体" w:cs="宋体"/>
          <w:color w:val="000000"/>
          <w:sz w:val="21"/>
          <w:shd w:val="clear" w:color="auto" w:fill="auto"/>
          <w:vertAlign w:val="baseline"/>
        </w:rPr>
        <w:t>年以后的</w:t>
      </w:r>
      <w:r>
        <w:rPr>
          <w:rFonts w:ascii="Times New Roman" w:eastAsia="Times New Roman" w:hAnsi="Times New Roman" w:cs="Times New Roman"/>
          <w:color w:val="000000"/>
          <w:sz w:val="21"/>
          <w:shd w:val="clear" w:color="auto" w:fill="auto"/>
          <w:vertAlign w:val="baseline"/>
        </w:rPr>
        <w:t>20</w:t>
      </w:r>
      <w:r>
        <w:rPr>
          <w:rFonts w:ascii="宋体" w:eastAsia="宋体" w:hAnsi="宋体" w:cs="宋体"/>
          <w:color w:val="000000"/>
          <w:sz w:val="21"/>
          <w:shd w:val="clear" w:color="auto" w:fill="auto"/>
          <w:vertAlign w:val="baseline"/>
        </w:rPr>
        <w:t>多年一直没有再出现</w:t>
      </w:r>
      <w:r>
        <w:rPr>
          <w:rFonts w:ascii="Times New Roman" w:eastAsia="Times New Roman" w:hAnsi="Times New Roman" w:cs="Times New Roman"/>
          <w:color w:val="000000"/>
          <w:sz w:val="21"/>
          <w:shd w:val="clear" w:color="auto" w:fill="auto"/>
          <w:vertAlign w:val="baseline"/>
        </w:rPr>
        <w:t>CPI</w:t>
      </w:r>
      <w:r>
        <w:rPr>
          <w:rFonts w:ascii="宋体" w:eastAsia="宋体" w:hAnsi="宋体" w:cs="宋体"/>
          <w:color w:val="000000"/>
          <w:sz w:val="21"/>
          <w:shd w:val="clear" w:color="auto" w:fill="auto"/>
          <w:vertAlign w:val="baseline"/>
        </w:rPr>
        <w:t>两位数的上涨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及所学可得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我国对经济持续而有效的宏观调控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一方面有利于社会主义市场经济健康运行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另一方面也推进了全面深化改革</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18．</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关键词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交通网络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物质思想流动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知识交流</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宋体" w:eastAsia="宋体" w:hAnsi="宋体" w:cs="宋体"/>
          <w:color w:val="000000"/>
          <w:sz w:val="21"/>
          <w:shd w:val="clear" w:color="auto" w:fill="auto"/>
          <w:vertAlign w:val="baseline"/>
        </w:rPr>
        <w:t>观点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近代交通网络的构建加速了全球物质与思想的流动传播</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宋体" w:eastAsia="宋体" w:hAnsi="宋体" w:cs="宋体"/>
          <w:color w:val="000000"/>
          <w:sz w:val="21"/>
          <w:shd w:val="clear" w:color="auto" w:fill="auto"/>
          <w:vertAlign w:val="baseline"/>
        </w:rPr>
        <w:t>阐述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近代交通网络的核心在于打破地理阻隔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推动商品跨区域流通</w:t>
      </w:r>
      <w:r>
        <w:rPr>
          <w:rFonts w:ascii="Times New Roman" w:eastAsia="Times New Roman" w:hAnsi="Times New Roman" w:cs="Times New Roman"/>
          <w:color w:val="000000"/>
          <w:sz w:val="21"/>
          <w:shd w:val="clear" w:color="auto" w:fill="auto"/>
          <w:vertAlign w:val="baseline"/>
        </w:rPr>
        <w:t>。15—16</w:t>
      </w:r>
      <w:r>
        <w:rPr>
          <w:rFonts w:ascii="宋体" w:eastAsia="宋体" w:hAnsi="宋体" w:cs="宋体"/>
          <w:color w:val="000000"/>
          <w:sz w:val="21"/>
          <w:shd w:val="clear" w:color="auto" w:fill="auto"/>
          <w:vertAlign w:val="baseline"/>
        </w:rPr>
        <w:t>世纪新航路开辟后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欧洲通过帆船贸易构建起连接欧亚非美的海上交通网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美洲的白银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亚洲的丝绸瓷器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非洲的黑奴借助帆船航线形成</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三角贸易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物质流动的规模与范围远超古代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西班牙大帆船将中国生丝从马尼拉运往美洲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再将白银输入中国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太平洋丝绸之路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使中国卷入全球贸易体系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工业革命后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蒸汽船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铁路等交通革新进一步强化了物质流动的效率</w:t>
      </w:r>
      <w:r>
        <w:rPr>
          <w:rFonts w:ascii="Times New Roman" w:eastAsia="Times New Roman" w:hAnsi="Times New Roman" w:cs="Times New Roman"/>
          <w:color w:val="000000"/>
          <w:sz w:val="21"/>
          <w:shd w:val="clear" w:color="auto" w:fill="auto"/>
          <w:vertAlign w:val="baseline"/>
        </w:rPr>
        <w:t>。19</w:t>
      </w:r>
      <w:r>
        <w:rPr>
          <w:rFonts w:ascii="宋体" w:eastAsia="宋体" w:hAnsi="宋体" w:cs="宋体"/>
          <w:color w:val="000000"/>
          <w:sz w:val="21"/>
          <w:shd w:val="clear" w:color="auto" w:fill="auto"/>
          <w:vertAlign w:val="baseline"/>
        </w:rPr>
        <w:t>世纪中期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英国铺设的铁路网络将棉花从利物浦港口运往曼彻斯特工厂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制成的纺织品再通过蒸汽船远销印度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原料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销售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的全球链条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交通网络的延伸为思想跨地域传播提供了载体</w:t>
      </w:r>
      <w:r>
        <w:rPr>
          <w:rFonts w:ascii="Times New Roman" w:eastAsia="Times New Roman" w:hAnsi="Times New Roman" w:cs="Times New Roman"/>
          <w:color w:val="000000"/>
          <w:sz w:val="21"/>
          <w:shd w:val="clear" w:color="auto" w:fill="auto"/>
          <w:vertAlign w:val="baseline"/>
        </w:rPr>
        <w:t>。16</w:t>
      </w:r>
      <w:r>
        <w:rPr>
          <w:rFonts w:ascii="宋体" w:eastAsia="宋体" w:hAnsi="宋体" w:cs="宋体"/>
          <w:color w:val="000000"/>
          <w:sz w:val="21"/>
          <w:shd w:val="clear" w:color="auto" w:fill="auto"/>
          <w:vertAlign w:val="baseline"/>
        </w:rPr>
        <w:t>世纪起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欧洲传教士搭乘帆船抵达亚洲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利玛窦通过海上航线进入中国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不仅带来西方天文历法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还将儒家经典译介至欧洲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西学东渐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东学西传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的双向交流</w:t>
      </w:r>
      <w:r>
        <w:rPr>
          <w:rFonts w:ascii="Times New Roman" w:eastAsia="Times New Roman" w:hAnsi="Times New Roman" w:cs="Times New Roman"/>
          <w:color w:val="000000"/>
          <w:sz w:val="21"/>
          <w:shd w:val="clear" w:color="auto" w:fill="auto"/>
          <w:vertAlign w:val="baseline"/>
        </w:rPr>
        <w:t>。19</w:t>
      </w:r>
      <w:r>
        <w:rPr>
          <w:rFonts w:ascii="宋体" w:eastAsia="宋体" w:hAnsi="宋体" w:cs="宋体"/>
          <w:color w:val="000000"/>
          <w:sz w:val="21"/>
          <w:shd w:val="clear" w:color="auto" w:fill="auto"/>
          <w:vertAlign w:val="baseline"/>
        </w:rPr>
        <w:t>世纪蒸汽船与电报的结合更使思想传播突破时空限制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马克思主义思想通过欧洲工人移民的迁徙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借助火车与轮船传播至北美与亚洲</w:t>
      </w:r>
      <w:r>
        <w:rPr>
          <w:rFonts w:ascii="Times New Roman" w:eastAsia="Times New Roman" w:hAnsi="Times New Roman" w:cs="Times New Roman"/>
          <w:color w:val="000000"/>
          <w:sz w:val="21"/>
          <w:shd w:val="clear" w:color="auto" w:fill="auto"/>
          <w:vertAlign w:val="baseline"/>
        </w:rPr>
        <w:t>：1848</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共产党宣言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出版后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随德国移民传入美国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又通过上海的轮船航线进入中国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影响</w:t>
      </w:r>
      <w:r>
        <w:rPr>
          <w:rFonts w:ascii="Times New Roman" w:eastAsia="Times New Roman" w:hAnsi="Times New Roman" w:cs="Times New Roman"/>
          <w:color w:val="000000"/>
          <w:sz w:val="21"/>
          <w:shd w:val="clear" w:color="auto" w:fill="auto"/>
          <w:vertAlign w:val="baseline"/>
        </w:rPr>
        <w:t>20</w:t>
      </w:r>
      <w:r>
        <w:rPr>
          <w:rFonts w:ascii="宋体" w:eastAsia="宋体" w:hAnsi="宋体" w:cs="宋体"/>
          <w:color w:val="000000"/>
          <w:sz w:val="21"/>
          <w:shd w:val="clear" w:color="auto" w:fill="auto"/>
          <w:vertAlign w:val="baseline"/>
        </w:rPr>
        <w:t>世纪初的新民主主义革命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总之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近代交通网络以技术革新为基础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构建起物质与思想流动的全球网络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它打破了传统文明的孤立状态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使商品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技术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观念在跨地域流动中相互激荡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推动了资本主义世界体系的形成</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首先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近代世界的交通网络是与其他基础设施同步建设的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交通网络的建设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促进了人类物质思想的频繁流动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正如科技史学者帕梅拉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史密斯指出的那样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国际间的知识交流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影响到了人们对物质的运用以及对自然世界的理解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可提取关键词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交通网络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物质思想流动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知识交流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结合所学可得出观点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近代交通网络的构建加速了全球物质与思想的流动传播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分别从以下角度阐述说明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交通网络与物质流动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新航路开辟的影响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三角贸易的形成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马尼拉大帆船贸易的影响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蒸汽船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铁路等交通工具革新的影响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交通网络与思想传播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欧洲传教士搭乘帆船抵达亚洲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西学东渐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东学西传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的双向交流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马克思主义思想的传播方式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最后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总结升华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近代交通网络以技术革新为基础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构建起物质与思想流动的全球网络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它打破了传统文明的孤立状态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使商品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技术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观念在跨地域流动中相互激荡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推动了资本主义世界体系的形成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注意史实正确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史论结合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逻辑清晰</w:t>
      </w:r>
      <w:r>
        <w:rPr>
          <w:rFonts w:ascii="Times New Roman" w:eastAsia="Times New Roman" w:hAnsi="Times New Roman" w:cs="Times New Roman"/>
          <w:color w:val="000000"/>
          <w:sz w:val="21"/>
          <w:shd w:val="clear" w:color="auto" w:fill="auto"/>
          <w:vertAlign w:val="baseline"/>
        </w:rPr>
        <w:t>。</w:t>
      </w:r>
    </w:p>
    <w:p>
      <w:pPr>
        <w:pStyle w:val="Normal54c7adfc-a473-4e13-b137-e39796456f64"/>
        <w:spacing w:line="320" w:lineRule="auto"/>
        <w:jc w:val="left"/>
        <w:textAlignment w:val="center"/>
        <w:rPr>
          <w:sz w:val="21"/>
        </w:rPr>
      </w:pPr>
    </w:p>
    <w:sectPr>
      <w:headerReference w:type="even" r:id="rId5"/>
      <w:headerReference w:type="default" r:id="rId6"/>
      <w:footerReference w:type="even" r:id="rId7"/>
      <w:footerReference w:type="default" r:id="rId8"/>
      <w:headerReference w:type="first" r:id="rId9"/>
      <w:pgSz w:w="11900" w:h="16840" w:orient="portrait"/>
      <w:pgMar w:top="998" w:right="1803" w:bottom="1202" w:left="1803" w:header="40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r>
      <w:t xml:space="preserve">第 </w:t>
    </w:r>
    <w:r>
      <w:fldChar w:fldCharType="begin"/>
    </w:r>
    <w:r>
      <w:instrText>PAGE "page number"</w:instrText>
    </w:r>
    <w:r>
      <w:fldChar w:fldCharType="separate"/>
    </w:r>
    <w:r>
      <w:t>page number</w:t>
    </w:r>
    <w:r>
      <w:fldChar w:fldCharType="end"/>
    </w:r>
    <w:r>
      <w:t xml:space="preserve"> 页，共 </w:t>
    </w:r>
    <w:r>
      <w:fldChar w:fldCharType="begin"/>
    </w:r>
    <w:r>
      <w:instrText>NUMPAGES "number of pages"</w:instrText>
    </w:r>
    <w:r>
      <w:fldChar w:fldCharType="separate"/>
    </w:r>
    <w:r>
      <w:t>number of pages</w:t>
    </w:r>
    <w:r>
      <w:fldChar w:fldCharType="end"/>
    </w:r>
    <w:r>
      <w:t xml:space="preserve"> 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r>
      <w:t xml:space="preserve">第 </w:t>
    </w:r>
    <w:r>
      <w:fldChar w:fldCharType="begin"/>
    </w:r>
    <w:r>
      <w:instrText>PAGE "page number"</w:instrText>
    </w:r>
    <w:r>
      <w:fldChar w:fldCharType="separate"/>
    </w:r>
    <w:r>
      <w:t>page number</w:t>
    </w:r>
    <w:r>
      <w:fldChar w:fldCharType="end"/>
    </w:r>
    <w:r>
      <w:t xml:space="preserve"> 页，共 </w:t>
    </w:r>
    <w:r>
      <w:fldChar w:fldCharType="begin"/>
    </w:r>
    <w:r>
      <w:instrText>NUMPAGES "number of pages"</w:instrText>
    </w:r>
    <w:r>
      <w:fldChar w:fldCharType="separate"/>
    </w:r>
    <w:r>
      <w:t>number of pages</w:t>
    </w:r>
    <w:r>
      <w:fldChar w:fldCharType="end"/>
    </w:r>
    <w:r>
      <w:t xml:space="preserve"> 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49" type="#_x0000_t136" style="width:245.17pt;height:69.81pt;margin-top:0;margin-left:0;mso-position-horizontal:center;mso-position-horizontal-relative:margin;mso-position-vertical:center;mso-position-vertical-relative:margin;position:absolute;rotation:315;z-index:251658240" o:allowincell="f" fillcolor="white" stroked="f">
          <v:fill opacity="0.5"/>
          <v:textpath style="font-family:'Times New Roman';font-size:64pt" string="试题资源网"/>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width:245.17pt;height:69.81pt;margin-top:0;margin-left:0;mso-position-horizontal:center;mso-position-horizontal-relative:margin;mso-position-vertical:center;mso-position-vertical-relative:margin;position:absolute;rotation:315;z-index:251659264" o:allowincell="f" fillcolor="white" stroked="f">
          <v:fill opacity="0.5"/>
          <v:textpath style="font-family:'Times New Roman';font-size:64pt" string="试题资源网"/>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51" type="#_x0000_t136" style="width:245.17pt;height:69.81pt;margin-top:0;margin-left:0;mso-position-horizontal:center;mso-position-horizontal-relative:margin;mso-position-vertical:center;mso-position-vertical-relative:margin;position:absolute;rotation:315;z-index:251660288" o:allowincell="f" fillcolor="white" stroked="f">
          <v:fill opacity="0.5"/>
          <v:textpath style="font-family:'Times New Roman';font-size:64pt" string="试题资源网"/>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1376C22"/>
    <w:multiLevelType w:val="multilevel"/>
    <w:tmpl w:val="0000000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nsid w:val="340071B3"/>
    <w:multiLevelType w:val="singleLevel"/>
    <w:tmpl w:val="00000000"/>
    <w:lvl w:ilvl="0">
      <w:start w:val="1"/>
      <w:numFmt w:val="upperLetter"/>
      <w:suff w:val="nothing"/>
      <w:lvlText w:val="%1．"/>
      <w:lvlJc w:val="left"/>
    </w:lvl>
  </w:abstractNum>
  <w:abstractNum w:abstractNumId="2">
    <w:nsid w:val="41F066BD"/>
    <w:multiLevelType w:val="singleLevel"/>
    <w:tmpl w:val="00000000"/>
    <w:lvl w:ilvl="0">
      <w:start w:val="1"/>
      <w:numFmt w:val="upperLetter"/>
      <w:suff w:val="nothing"/>
      <w:lvlText w:val="%1．"/>
      <w:lvlJc w:val="left"/>
    </w:lvl>
  </w:abstractNum>
  <w:abstractNum w:abstractNumId="3">
    <w:nsid w:val="6F898BAF"/>
    <w:multiLevelType w:val="multilevel"/>
    <w:tmpl w:val="0000000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
    <w:nsid w:val="7208C4FB"/>
    <w:multiLevelType w:val="singleLevel"/>
    <w:tmpl w:val="00000000"/>
    <w:lvl w:ilvl="0">
      <w:start w:val="1"/>
      <w:numFmt w:val="upperLetter"/>
      <w:suff w:val="nothing"/>
      <w:lvlText w:val="%1．"/>
      <w:lvlJc w:val="left"/>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宋体" w:eastAsia="宋体" w:hAnsi="宋体" w:cs="宋体"/>
      <w:sz w:val="18"/>
      <w:szCs w:val="24"/>
      <w:lang w:val="en-US" w:eastAsia="uk-U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TitleStyle">
    <w:name w:val="subTitleStyle"/>
    <w:basedOn w:val="Normal"/>
    <w:qFormat/>
    <w:rPr>
      <w:rFonts w:ascii="宋体" w:eastAsia="宋体" w:hAnsi="宋体" w:cs="宋体"/>
      <w:b/>
      <w:color w:val="000000"/>
      <w:sz w:val="32"/>
    </w:rPr>
  </w:style>
  <w:style w:type="paragraph" w:customStyle="1" w:styleId="Normal54c7adfc-a473-4e13-b137-e39796456f64">
    <w:name w:val="Normal_54c7adfc-a473-4e13-b137-e39796456f64"/>
    <w:qFormat/>
    <w:rPr>
      <w:rFonts w:ascii="Times New Roman" w:eastAsia="Times New Roman" w:hAnsi="Times New Roman"/>
      <w:sz w:val="24"/>
      <w:szCs w:val="24"/>
      <w:lang w:val="en-US" w:eastAsia="uk-UA" w:bidi="ar-SA"/>
    </w:rPr>
  </w:style>
  <w:style w:type="paragraph" w:customStyle="1" w:styleId="paraStyle">
    <w:name w:val="paraStyle"/>
    <w:basedOn w:val="Normal"/>
    <w:qFormat/>
    <w:rPr>
      <w:b/>
      <w:sz w:val="21"/>
    </w:rPr>
  </w:style>
  <w:style w:type="paragraph" w:customStyle="1" w:styleId="subTitleStyle0bc1b321-b9e1-4579-8ed0-97d84e7374a0">
    <w:name w:val="subTitleStyle_0bc1b321-b9e1-4579-8ed0-97d84e7374a0"/>
    <w:basedOn w:val="Normal54c7adfc-a473-4e13-b137-e39796456f64"/>
    <w:qFormat/>
    <w:rPr>
      <w:rFonts w:ascii="宋体" w:eastAsia="宋体" w:hAnsi="宋体" w:cs="宋体"/>
      <w:b/>
      <w:color w:val="000000"/>
      <w:sz w:val="32"/>
    </w:rPr>
  </w:style>
  <w:style w:type="table" w:styleId="TableGrid">
    <w:name w:val="Table Grid"/>
    <w:basedOn w:val="TableNormal"/>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Manager>试题资源</Manager>
  <Company>众望教育</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试题资源网试卷</dc:title>
  <dc:subject>试题资源</dc:subject>
  <dc:creator>stzy.com</dc:creator>
  <cp:keywords>试题资源, 试卷,课件，题库，组卷，教案，教学资源，众望教育, 必刷题，必刷卷</cp:keywords>
  <dc:description>试题资源网 题好 卷好 备课好</dc:description>
  <cp:lastModifiedBy>试题资源网</cp:lastModifiedBy>
  <cp:revision>1</cp:revision>
  <dcterms:created xsi:type="dcterms:W3CDTF">2025-07-01T11:08:06Z</dcterms:created>
  <dcterms:modified xsi:type="dcterms:W3CDTF">2025-07-01T11:08:06Z</dcterms:modified>
  <cp:category>试题</cp:category>
</cp:coreProperties>
</file>