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02F37" w14:textId="77777777" w:rsidR="00486A09" w:rsidRDefault="00F65A5E">
      <w:pPr>
        <w:widowControl w:val="0"/>
        <w:spacing w:line="286" w:lineRule="auto"/>
        <w:jc w:val="center"/>
        <w:rPr>
          <w:sz w:val="32"/>
          <w:szCs w:val="32"/>
          <w:lang w:eastAsia="zh-CN"/>
        </w:rPr>
      </w:pPr>
      <w:r>
        <w:rPr>
          <w:noProof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 wp14:anchorId="4DC91482" wp14:editId="362493F9">
            <wp:simplePos x="0" y="0"/>
            <wp:positionH relativeFrom="page">
              <wp:posOffset>11950700</wp:posOffset>
            </wp:positionH>
            <wp:positionV relativeFrom="topMargin">
              <wp:posOffset>12065000</wp:posOffset>
            </wp:positionV>
            <wp:extent cx="304800" cy="36195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  <w:lang w:eastAsia="zh-CN"/>
        </w:rPr>
        <w:t>2024</w:t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年上海市中考历史试卷（网络回忆版）</w:t>
      </w:r>
    </w:p>
    <w:p w14:paraId="64EFEF79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免责声明：试题来自网络，非官方渠道，学科网不对真实性负责，请自行鉴别</w:t>
      </w:r>
    </w:p>
    <w:p w14:paraId="63C2F263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eastAsia="宋体" w:hAnsi="宋体" w:cs="宋体"/>
          <w:sz w:val="21"/>
          <w:szCs w:val="21"/>
        </w:rPr>
        <w:t>观文物，通古今</w:t>
      </w:r>
    </w:p>
    <w:p w14:paraId="48D9A7D1" w14:textId="77777777" w:rsidR="00486A09" w:rsidRDefault="00F65A5E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344D7BA5" wp14:editId="1B8D27A9">
            <wp:extent cx="5238750" cy="36195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7CD52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）按照时间的先后进行排序</w:t>
      </w:r>
    </w:p>
    <w:p w14:paraId="035CBF2D" w14:textId="77777777" w:rsidR="00486A09" w:rsidRDefault="00F65A5E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11373326" wp14:editId="0DB1E77D">
            <wp:extent cx="3600450" cy="2095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EC28B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）根据特征填写文物的编号。</w:t>
      </w:r>
    </w:p>
    <w:p w14:paraId="6F1A13E1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①源于少数民族，民国改良风靡全国的是（      ）；</w:t>
      </w:r>
    </w:p>
    <w:p w14:paraId="56798038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②载重量大且配备了指南针，在当时领先地位的是（      ）。</w:t>
      </w:r>
    </w:p>
    <w:p w14:paraId="0E38CA53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）古代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7D0A601A" wp14:editId="1215C068">
            <wp:extent cx="133350" cy="180975"/>
            <wp:effectExtent l="0" t="0" r="0" b="889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一些文物在日常生活中也能看到它们的身影，对此你有什么认识</w:t>
      </w:r>
    </w:p>
    <w:p w14:paraId="33B68DCC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rFonts w:ascii="宋体" w:eastAsia="宋体" w:hAnsi="宋体" w:cs="宋体"/>
          <w:color w:val="2E75B6"/>
          <w:sz w:val="21"/>
          <w:szCs w:val="21"/>
        </w:rPr>
        <w:t>【答案】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）（</w:t>
      </w:r>
      <w:r>
        <w:rPr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）→（</w:t>
      </w:r>
      <w:r>
        <w:rPr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）→（</w:t>
      </w:r>
      <w:r>
        <w:rPr>
          <w:sz w:val="21"/>
          <w:szCs w:val="21"/>
        </w:rPr>
        <w:t>E</w:t>
      </w:r>
      <w:r>
        <w:rPr>
          <w:rFonts w:ascii="宋体" w:eastAsia="宋体" w:hAnsi="宋体" w:cs="宋体"/>
          <w:sz w:val="21"/>
          <w:szCs w:val="21"/>
        </w:rPr>
        <w:t>）→（</w:t>
      </w:r>
      <w:r>
        <w:rPr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）→（</w:t>
      </w:r>
      <w:r>
        <w:rPr>
          <w:sz w:val="21"/>
          <w:szCs w:val="21"/>
        </w:rPr>
        <w:t>F</w:t>
      </w:r>
      <w:r>
        <w:rPr>
          <w:rFonts w:ascii="宋体" w:eastAsia="宋体" w:hAnsi="宋体" w:cs="宋体"/>
          <w:sz w:val="21"/>
          <w:szCs w:val="21"/>
        </w:rPr>
        <w:t>）→（</w:t>
      </w:r>
      <w:r>
        <w:rPr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 xml:space="preserve">）    </w:t>
      </w:r>
    </w:p>
    <w:p w14:paraId="7D6A950F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）    </w:t>
      </w:r>
      <w:r>
        <w:rPr>
          <w:rFonts w:ascii="Cambria Math" w:eastAsia="Cambria Math" w:hAnsi="Cambria Math" w:cs="Cambria Math"/>
          <w:sz w:val="21"/>
          <w:szCs w:val="21"/>
          <w:lang w:eastAsia="zh-CN"/>
        </w:rPr>
        <w:t>①</w:t>
      </w:r>
      <w:r>
        <w:rPr>
          <w:sz w:val="21"/>
          <w:szCs w:val="21"/>
          <w:lang w:eastAsia="zh-CN"/>
        </w:rPr>
        <w:t xml:space="preserve">. A    </w:t>
      </w:r>
      <w:r>
        <w:rPr>
          <w:rFonts w:ascii="Cambria Math" w:eastAsia="Cambria Math" w:hAnsi="Cambria Math" w:cs="Cambria Math"/>
          <w:sz w:val="21"/>
          <w:szCs w:val="21"/>
          <w:lang w:eastAsia="zh-CN"/>
        </w:rPr>
        <w:t>②</w:t>
      </w:r>
      <w:r>
        <w:rPr>
          <w:sz w:val="21"/>
          <w:szCs w:val="21"/>
          <w:lang w:eastAsia="zh-CN"/>
        </w:rPr>
        <w:t xml:space="preserve">. F    </w:t>
      </w:r>
    </w:p>
    <w:p w14:paraId="7CE56B5D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文物在现在生活中的出现反映了中国古代的民族融合、先进的科技水平、对外贸易的繁荣开放、农业手工业商业的发展，又反映中国传统优秀文化的博大精深和源远流长；我们要传承和发展文物文化，使与其他文化相融合，让传统文化在当今社会大放异彩。</w:t>
      </w:r>
    </w:p>
    <w:p w14:paraId="0854C600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color w:val="2E75B6"/>
          <w:sz w:val="21"/>
          <w:szCs w:val="21"/>
          <w:lang w:eastAsia="zh-CN"/>
        </w:rPr>
        <w:t>【解析】</w:t>
      </w:r>
    </w:p>
    <w:p w14:paraId="373CA12D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67830C1A" wp14:editId="297435BC">
            <wp:extent cx="95250" cy="17145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小问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2C001783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排序：根据图片信息</w:t>
      </w:r>
      <w:r>
        <w:rPr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材料 </w:t>
      </w:r>
      <w:r>
        <w:rPr>
          <w:sz w:val="21"/>
          <w:szCs w:val="21"/>
          <w:lang w:eastAsia="zh-CN"/>
        </w:rPr>
        <w:t xml:space="preserve">A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满族旗袍； 材料 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战国铜壶 ；材料</w:t>
      </w:r>
      <w:r>
        <w:rPr>
          <w:sz w:val="21"/>
          <w:szCs w:val="21"/>
          <w:lang w:eastAsia="zh-CN"/>
        </w:rPr>
        <w:t xml:space="preserve">C </w:t>
      </w:r>
      <w:r>
        <w:rPr>
          <w:rFonts w:ascii="宋体" w:eastAsia="宋体" w:hAnsi="宋体" w:cs="宋体"/>
          <w:sz w:val="21"/>
          <w:szCs w:val="21"/>
          <w:lang w:eastAsia="zh-CN"/>
        </w:rPr>
        <w:t>玉蟾岩遗址出土的稻谷；材料</w:t>
      </w:r>
      <w:r>
        <w:rPr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戴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6A3E4389" wp14:editId="71B1E197">
            <wp:extent cx="28575" cy="28575"/>
            <wp:effectExtent l="0" t="0" r="0" b="0"/>
            <wp:docPr id="100019" name="图片 100019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page number 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2C01A" w14:textId="77777777" w:rsidR="00486A09" w:rsidRDefault="00486A09">
      <w:pPr>
        <w:rPr>
          <w:lang w:eastAsia="zh-CN"/>
        </w:rPr>
        <w:sectPr w:rsidR="00486A09">
          <w:headerReference w:type="default" r:id="rId12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0AE0722D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帷帽女子骑马雕塑材料；</w:t>
      </w:r>
      <w:r>
        <w:rPr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z w:val="21"/>
          <w:szCs w:val="21"/>
          <w:lang w:eastAsia="zh-CN"/>
        </w:rPr>
        <w:t>陶院落； 材料</w:t>
      </w:r>
      <w:r>
        <w:rPr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z w:val="21"/>
          <w:szCs w:val="21"/>
          <w:lang w:eastAsia="zh-CN"/>
        </w:rPr>
        <w:t>泉州出土的海船</w:t>
      </w:r>
      <w:r>
        <w:rPr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结合所学可知，材料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是清朝时期，材料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是战国时期，材料</w:t>
      </w:r>
      <w:r>
        <w:rPr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是原始农耕时期；材料</w:t>
      </w:r>
      <w:r>
        <w:rPr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是唐朝时期；材料</w:t>
      </w:r>
      <w:r>
        <w:rPr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z w:val="21"/>
          <w:szCs w:val="21"/>
          <w:lang w:eastAsia="zh-CN"/>
        </w:rPr>
        <w:t>是汉朝时期；材料</w:t>
      </w:r>
      <w:r>
        <w:rPr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z w:val="21"/>
          <w:szCs w:val="21"/>
          <w:lang w:eastAsia="zh-CN"/>
        </w:rPr>
        <w:t>是宋朝时期。因此，按照时间的先后进行排序是：（</w:t>
      </w:r>
      <w:r>
        <w:rPr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sz w:val="21"/>
          <w:szCs w:val="21"/>
          <w:lang w:eastAsia="zh-CN"/>
        </w:rPr>
        <w:t>→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sz w:val="21"/>
          <w:szCs w:val="21"/>
          <w:lang w:eastAsia="zh-CN"/>
        </w:rPr>
        <w:t>→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sz w:val="21"/>
          <w:szCs w:val="21"/>
          <w:lang w:eastAsia="zh-CN"/>
        </w:rPr>
        <w:t>→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sz w:val="21"/>
          <w:szCs w:val="21"/>
          <w:lang w:eastAsia="zh-CN"/>
        </w:rPr>
        <w:t>→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sz w:val="21"/>
          <w:szCs w:val="21"/>
          <w:lang w:eastAsia="zh-CN"/>
        </w:rPr>
        <w:t>→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5F88DBD2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2065FF54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编号：根据所学可知，源于少数民族，民国改良风靡全国的是满族旗袍，因此</w:t>
      </w:r>
      <w:r>
        <w:rPr>
          <w:rFonts w:ascii="Cambria Math" w:eastAsia="Cambria Math" w:hAnsi="Cambria Math" w:cs="Cambria Math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；根据所学可知，</w:t>
      </w:r>
      <w:r>
        <w:rPr>
          <w:rFonts w:ascii="宋体" w:eastAsia="宋体" w:hAnsi="宋体" w:cs="宋体"/>
          <w:sz w:val="21"/>
          <w:szCs w:val="21"/>
          <w:lang w:eastAsia="zh-CN"/>
        </w:rPr>
        <w:lastRenderedPageBreak/>
        <w:t>北宋末年，中国的海船上开始使用指南针。乘坐中国海船的阿拉伯商人将指南针传到阿拉伯国家，后来又传到欧洲，大大促进了世界远洋航海技术的发展。因此，</w:t>
      </w:r>
      <w:r>
        <w:rPr>
          <w:rFonts w:ascii="Cambria Math" w:eastAsia="Cambria Math" w:hAnsi="Cambria Math" w:cs="Cambria Math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0400EC8C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327F5EB9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认识：根据材料结合所学可知，古代的一些文物在日常生活中也能看到它们的身影，这是历史的传承，对此我的认识是：文物在现在生活中的出现反映了中国古代的民族融合、先进的科技水平、对外贸易的繁荣开放、农业手工业商业的发展，又反映中国传统优秀文化的博大精深和源远流长；我们要传承和发展文物文化，使与其他文化相融合，让传统文化在当今社会大放异彩。</w:t>
      </w:r>
    </w:p>
    <w:p w14:paraId="5B61AAF5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2. </w:t>
      </w:r>
      <w:r>
        <w:rPr>
          <w:rFonts w:ascii="宋体" w:eastAsia="宋体" w:hAnsi="宋体" w:cs="宋体"/>
          <w:sz w:val="21"/>
          <w:szCs w:val="21"/>
          <w:lang w:eastAsia="zh-CN"/>
        </w:rPr>
        <w:t>读材料，析原因</w:t>
      </w:r>
    </w:p>
    <w:p w14:paraId="4CE86B58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同学们研究辛亥革命时发现各界在武昌起义爆发后的态度有所不同。</w:t>
      </w:r>
    </w:p>
    <w:p w14:paraId="0B6AEFDB" w14:textId="77777777" w:rsidR="00486A09" w:rsidRDefault="00F65A5E">
      <w:pPr>
        <w:widowControl w:val="0"/>
        <w:spacing w:line="360" w:lineRule="auto"/>
        <w:ind w:firstLine="420"/>
        <w:jc w:val="both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材料一：清政府的话大意是革命军勾结在一起，要尽早扑灭，防止革命影响范围越来越广</w:t>
      </w:r>
    </w:p>
    <w:p w14:paraId="208052B7" w14:textId="77777777" w:rsidR="00486A09" w:rsidRDefault="00F65A5E">
      <w:pPr>
        <w:widowControl w:val="0"/>
        <w:spacing w:line="360" w:lineRule="auto"/>
        <w:ind w:firstLine="420"/>
        <w:jc w:val="both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材料二：各国使馆人员的话你们革命军英明勇武，感激其保护武汉华侨，严守中立态度</w:t>
      </w:r>
    </w:p>
    <w:p w14:paraId="75F20C1F" w14:textId="77777777" w:rsidR="00486A09" w:rsidRDefault="00F65A5E">
      <w:pPr>
        <w:widowControl w:val="0"/>
        <w:spacing w:line="360" w:lineRule="auto"/>
        <w:ind w:firstLine="420"/>
        <w:jc w:val="both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材料三：孙中山接受采访虽然武昌起义，我们革命军准备不是很充分，但是由于全国各省都在纷纷响应，以及我们革命军非常的英勇，所以说我支持，然后他们会胜利。</w:t>
      </w:r>
    </w:p>
    <w:p w14:paraId="61C7F2B4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）根据材料一，清政府对武昌起义的采取的措施。</w:t>
      </w:r>
    </w:p>
    <w:p w14:paraId="4EB6BD87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）根据材料二，总结各国对武昌起义的态度。</w:t>
      </w:r>
    </w:p>
    <w:p w14:paraId="5391D196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）根据材料三，孙中山对起义态势乐观态度的原因（      ）双选</w:t>
      </w:r>
    </w:p>
    <w:p w14:paraId="1C2256C3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、起义准备充分    </w:t>
      </w:r>
      <w:r>
        <w:rPr>
          <w:rFonts w:ascii="Calibri" w:eastAsia="Calibri" w:hAnsi="Calibri" w:cs="Calibri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、阻挠势力不多    </w:t>
      </w:r>
      <w:r>
        <w:rPr>
          <w:rFonts w:ascii="Calibri" w:eastAsia="Calibri" w:hAnsi="Calibri" w:cs="Calibri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、各省纷纷响应    </w:t>
      </w:r>
      <w:r>
        <w:rPr>
          <w:rFonts w:ascii="Calibri" w:eastAsia="Calibri" w:hAnsi="Calibri" w:cs="Calibri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、军队作战勇猛</w:t>
      </w:r>
    </w:p>
    <w:p w14:paraId="6C674690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）各方对于武昌起义的爆发存在不同的态度，结合材料，分析原因。</w:t>
      </w:r>
    </w:p>
    <w:p w14:paraId="510AE657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color w:val="2E75B6"/>
          <w:sz w:val="21"/>
          <w:szCs w:val="21"/>
          <w:lang w:eastAsia="zh-CN"/>
        </w:rPr>
        <w:t>【答案】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）镇压    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）中立    </w:t>
      </w:r>
    </w:p>
    <w:p w14:paraId="2A338454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Calibri" w:eastAsia="Calibri" w:hAnsi="Calibri" w:cs="Calibri"/>
          <w:sz w:val="21"/>
          <w:szCs w:val="21"/>
          <w:lang w:eastAsia="zh-CN"/>
        </w:rPr>
        <w:t>CD</w:t>
      </w:r>
      <w:r>
        <w:rPr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）材料一反映清政府维护自身统治；材料二反映革命者推翻清王朝政权；材料三反映外国列强维护本国利益。</w:t>
      </w:r>
    </w:p>
    <w:p w14:paraId="15685380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color w:val="2E75B6"/>
          <w:sz w:val="21"/>
          <w:szCs w:val="21"/>
          <w:lang w:eastAsia="zh-CN"/>
        </w:rPr>
        <w:t>【解析】</w:t>
      </w:r>
    </w:p>
    <w:p w14:paraId="5E5805D4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71E475EC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措施：根据材料一</w:t>
      </w:r>
      <w:r>
        <w:rPr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清政府的话大意是革命军勾结在一起，要尽早扑灭，防止革命影响范围越来越广</w:t>
      </w:r>
      <w:r>
        <w:rPr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可知，清政府对武昌起义的采取的措施是：镇压。</w:t>
      </w:r>
    </w:p>
    <w:p w14:paraId="648CCBC1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5028639A" wp14:editId="3881EDA0">
            <wp:extent cx="95250" cy="17145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小问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6B85F56E" wp14:editId="0D2562CB">
            <wp:extent cx="28575" cy="28575"/>
            <wp:effectExtent l="0" t="0" r="0" b="0"/>
            <wp:docPr id="100035" name="图片 100035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page number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1900C" w14:textId="77777777" w:rsidR="00486A09" w:rsidRDefault="00486A09">
      <w:pPr>
        <w:rPr>
          <w:lang w:eastAsia="zh-CN"/>
        </w:rPr>
        <w:sectPr w:rsidR="00486A09">
          <w:headerReference w:type="default" r:id="rId13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07AFC32D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态度：根据材料二</w:t>
      </w:r>
      <w:r>
        <w:rPr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各国使馆人员的话你们革命军英明勇武，感激其保护武汉华侨，严守中立态度</w:t>
      </w:r>
      <w:r>
        <w:rPr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可知，各国对武昌起义的态度是：中立。</w:t>
      </w:r>
    </w:p>
    <w:p w14:paraId="7CDF4C44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1D7DD261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原因：根据材料三</w:t>
      </w:r>
      <w:r>
        <w:rPr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孙中山接受采访虽然武昌起义，我们革命军准备不是很充分，但是由于全国各省都在纷纷响应，以及我们革命军非常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6E4BB386" wp14:editId="69331B35">
            <wp:extent cx="133350" cy="180975"/>
            <wp:effectExtent l="0" t="0" r="0" b="889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英勇，所以说我支持，然后他们会胜利。</w:t>
      </w:r>
      <w:r>
        <w:rPr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可知，孙中山对起义态势乐观态度的原因有：各省纷纷响应 ，军队作战勇猛，</w:t>
      </w:r>
      <w:r>
        <w:rPr>
          <w:sz w:val="21"/>
          <w:szCs w:val="21"/>
          <w:lang w:eastAsia="zh-CN"/>
        </w:rPr>
        <w:t>CD</w:t>
      </w:r>
      <w:r>
        <w:rPr>
          <w:rFonts w:ascii="宋体" w:eastAsia="宋体" w:hAnsi="宋体" w:cs="宋体"/>
          <w:sz w:val="21"/>
          <w:szCs w:val="21"/>
          <w:lang w:eastAsia="zh-CN"/>
        </w:rPr>
        <w:t>项正确；起义准备充分与材料不符，排除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项；材料中未出现辛亥革命阻挠势力不多的信息，排除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项。故选</w:t>
      </w:r>
      <w:r>
        <w:rPr>
          <w:sz w:val="21"/>
          <w:szCs w:val="21"/>
          <w:lang w:eastAsia="zh-CN"/>
        </w:rPr>
        <w:t>CD</w:t>
      </w:r>
      <w:r>
        <w:rPr>
          <w:rFonts w:ascii="宋体" w:eastAsia="宋体" w:hAnsi="宋体" w:cs="宋体"/>
          <w:sz w:val="21"/>
          <w:szCs w:val="21"/>
          <w:lang w:eastAsia="zh-CN"/>
        </w:rPr>
        <w:t>项。</w:t>
      </w:r>
    </w:p>
    <w:p w14:paraId="7EFC8882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390DE90D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原因：根据材料一</w:t>
      </w:r>
      <w:r>
        <w:rPr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清政府的话大意是革命军勾结在一起，要尽早扑灭，防止革命影响范围越来越广</w:t>
      </w:r>
      <w:r>
        <w:rPr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；根据材料二</w:t>
      </w:r>
      <w:r>
        <w:rPr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各国使馆人员的话你们革命军英明勇武，感激其保护武汉华侨，严守中立态度</w:t>
      </w:r>
      <w:r>
        <w:rPr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；根据材料三</w:t>
      </w:r>
      <w:r>
        <w:rPr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孙中山接受采访虽然武昌起义，我们革命军准备不是很充分，但是由于全国各省都在纷纷响应，以及我</w:t>
      </w:r>
      <w:r>
        <w:rPr>
          <w:rFonts w:ascii="宋体" w:eastAsia="宋体" w:hAnsi="宋体" w:cs="宋体"/>
          <w:sz w:val="21"/>
          <w:szCs w:val="21"/>
          <w:lang w:eastAsia="zh-CN"/>
        </w:rPr>
        <w:lastRenderedPageBreak/>
        <w:t>们革命军非常的英勇，所以说我支持，然后他们会胜利。</w:t>
      </w:r>
      <w:r>
        <w:rPr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可知，各方对于武昌起义的爆发存在不同的态度，原因是：材料一反映清政府维护自身统治；材料二反映革命者推翻清王朝政权；材料三反映外国列强维护本国利益。</w:t>
      </w:r>
    </w:p>
    <w:p w14:paraId="65B25B15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3. </w:t>
      </w:r>
      <w:r>
        <w:rPr>
          <w:rFonts w:ascii="宋体" w:eastAsia="宋体" w:hAnsi="宋体" w:cs="宋体"/>
          <w:sz w:val="21"/>
          <w:szCs w:val="21"/>
          <w:lang w:eastAsia="zh-CN"/>
        </w:rPr>
        <w:t>看图表，辨趋势</w:t>
      </w:r>
    </w:p>
    <w:p w14:paraId="065D19C9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同学研究“</w:t>
      </w:r>
      <w:r>
        <w:rPr>
          <w:rFonts w:ascii="Calibri" w:eastAsia="Calibri" w:hAnsi="Calibri" w:cs="Calibri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世纪以来世界与亚洲的联系”，绘制以下时间轴。</w:t>
      </w:r>
    </w:p>
    <w:p w14:paraId="3CB2EFBD" w14:textId="77777777" w:rsidR="00486A09" w:rsidRDefault="00F65A5E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68A7A016" wp14:editId="01B5520C">
            <wp:extent cx="3857625" cy="1695450"/>
            <wp:effectExtent l="0" t="0" r="9525" b="0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3F695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）新航路开辟以来，葡萄牙攫取在中国（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）的居住权。</w:t>
      </w:r>
    </w:p>
    <w:p w14:paraId="28379290" w14:textId="77777777" w:rsidR="00486A09" w:rsidRDefault="00F65A5E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澳门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香港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台湾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上海</w:t>
      </w:r>
    </w:p>
    <w:p w14:paraId="76FE6F62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）同学发现</w:t>
      </w:r>
      <w:r>
        <w:rPr>
          <w:rFonts w:ascii="Calibri" w:eastAsia="Calibri" w:hAnsi="Calibri" w:cs="Calibri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世纪以来世界与亚洲的联系十分紧密。根据事例，解读万隆会议和第二次世界大战之间的关系。</w:t>
      </w:r>
    </w:p>
    <w:p w14:paraId="1A03F0F9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事例：第一次世界大战激化了殖民地与宗主国的矛盾，印度开展非暴力不合作运动，冲击英国的殖民体系。</w:t>
      </w:r>
    </w:p>
    <w:p w14:paraId="2440495D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）根据时间轴，结合所学，谈谈你对“</w:t>
      </w:r>
      <w:r>
        <w:rPr>
          <w:rFonts w:ascii="Calibri" w:eastAsia="Calibri" w:hAnsi="Calibri" w:cs="Calibri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世纪以来世界与亚洲的联系”的认识。</w:t>
      </w:r>
    </w:p>
    <w:p w14:paraId="514B4482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color w:val="2E75B6"/>
          <w:sz w:val="21"/>
          <w:szCs w:val="21"/>
          <w:lang w:eastAsia="zh-CN"/>
        </w:rPr>
        <w:t>【答案】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sz w:val="21"/>
          <w:szCs w:val="21"/>
          <w:lang w:eastAsia="zh-CN"/>
        </w:rPr>
        <w:t xml:space="preserve">A   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）关系：第二次世界大战结束后，亚洲民族独立运动兴起，万隆会议的召开反映了亿万亚非人民争取和保障民族独立、反对侵略战争、维护世界和平、促进亚非国家团结合作的共同愿望。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241958F9" wp14:editId="7B770E4A">
            <wp:extent cx="28575" cy="28575"/>
            <wp:effectExtent l="0" t="0" r="0" b="0"/>
            <wp:docPr id="100053" name="图片 100053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page number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01341" w14:textId="77777777" w:rsidR="00486A09" w:rsidRDefault="00486A09">
      <w:pPr>
        <w:rPr>
          <w:lang w:eastAsia="zh-CN"/>
        </w:rPr>
        <w:sectPr w:rsidR="00486A09">
          <w:headerReference w:type="default" r:id="rId15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653F9142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维护了许多亚非民族主义国家的民族独立和国家主权出发。    </w:t>
      </w:r>
    </w:p>
    <w:p w14:paraId="52B4795A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）认识：</w:t>
      </w:r>
      <w:r>
        <w:rPr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世纪以来世界发展与亚洲的关系密不可分，给亚洲带来灾难的同时，也促进了亚洲民族的觉醒和发展，最终成为当今世界多极化中不可缺少的重要力量。</w:t>
      </w:r>
    </w:p>
    <w:p w14:paraId="70A04C81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color w:val="2E75B6"/>
          <w:sz w:val="21"/>
          <w:szCs w:val="21"/>
          <w:lang w:eastAsia="zh-CN"/>
        </w:rPr>
        <w:t>【解析】</w:t>
      </w:r>
    </w:p>
    <w:p w14:paraId="50A3F6C2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3D3E6118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选择：根据所学可知，</w:t>
      </w:r>
      <w:r>
        <w:rPr>
          <w:sz w:val="21"/>
          <w:szCs w:val="21"/>
          <w:lang w:eastAsia="zh-CN"/>
        </w:rPr>
        <w:t>1487</w:t>
      </w:r>
      <w:r>
        <w:rPr>
          <w:rFonts w:ascii="宋体" w:eastAsia="宋体" w:hAnsi="宋体" w:cs="宋体"/>
          <w:sz w:val="21"/>
          <w:szCs w:val="21"/>
          <w:lang w:eastAsia="zh-CN"/>
        </w:rPr>
        <w:t>年－</w:t>
      </w:r>
      <w:r>
        <w:rPr>
          <w:sz w:val="21"/>
          <w:szCs w:val="21"/>
          <w:lang w:eastAsia="zh-CN"/>
        </w:rPr>
        <w:t>1522</w:t>
      </w:r>
      <w:r>
        <w:rPr>
          <w:rFonts w:ascii="宋体" w:eastAsia="宋体" w:hAnsi="宋体" w:cs="宋体"/>
          <w:sz w:val="21"/>
          <w:szCs w:val="21"/>
          <w:lang w:eastAsia="zh-CN"/>
        </w:rPr>
        <w:t>年西方新航路开辟以后，葡萄牙、西班牙大肆向亚、非、拉地区进行殖民扩张，成为</w:t>
      </w:r>
      <w:r>
        <w:rPr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～</w:t>
      </w:r>
      <w:r>
        <w:rPr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z w:val="21"/>
          <w:szCs w:val="21"/>
          <w:lang w:eastAsia="zh-CN"/>
        </w:rPr>
        <w:t>世纪世界的海上霸主和最大殖民国家。从</w:t>
      </w:r>
      <w:r>
        <w:rPr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z w:val="21"/>
          <w:szCs w:val="21"/>
          <w:lang w:eastAsia="zh-CN"/>
        </w:rPr>
        <w:t>世纪开始，葡萄牙殖民者不断侵扰我国东南沿海，强行租占澳门，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项正确；香港是清朝鸦片战争失败后被割让给英国的，与题意不符，排除B项；台湾是甲午中日战争失败后，割让给日本的，与题意不符，排除C项；上海是《南京条约》中开放为通商口岸与题意不符，排出的D项。故选A项。</w:t>
      </w:r>
    </w:p>
    <w:p w14:paraId="1D1FAFC9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63A7723B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关系：根据所学可知，第二次世界大战后，民族解放运动空前高涨，席卷全球。殖民帝国纷纷瓦解，越来越多的亚洲和非洲国家取得独立。 </w:t>
      </w:r>
      <w:r>
        <w:rPr>
          <w:sz w:val="21"/>
          <w:szCs w:val="21"/>
          <w:lang w:eastAsia="zh-CN"/>
        </w:rPr>
        <w:t>1955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月，在印度尼西亚的万隆，来自亚洲、非洲的</w:t>
      </w:r>
      <w:r>
        <w:rPr>
          <w:sz w:val="21"/>
          <w:szCs w:val="21"/>
          <w:lang w:eastAsia="zh-CN"/>
        </w:rPr>
        <w:t>29</w:t>
      </w:r>
      <w:r>
        <w:rPr>
          <w:rFonts w:ascii="宋体" w:eastAsia="宋体" w:hAnsi="宋体" w:cs="宋体"/>
          <w:sz w:val="21"/>
          <w:szCs w:val="21"/>
          <w:lang w:eastAsia="zh-CN"/>
        </w:rPr>
        <w:t>个国家和地区的代表举行了第一次亚非会议，也就是万隆会议。会议通过了和平相处、友好合作的十项原则。会议体现的亚非国家和地区团结合作、友好相处，共同反对帝国主义和殖民主义，争取和巩固民族独立，保卫世界和平的精神，被称为“万隆精神”。万隆会议提高了亚非国家和地区的民族自信，鼓舞了亚非拉人民争</w:t>
      </w:r>
      <w:r>
        <w:rPr>
          <w:rFonts w:ascii="宋体" w:eastAsia="宋体" w:hAnsi="宋体" w:cs="宋体"/>
          <w:sz w:val="21"/>
          <w:szCs w:val="21"/>
          <w:lang w:eastAsia="zh-CN"/>
        </w:rPr>
        <w:lastRenderedPageBreak/>
        <w:t>取民族独立的斗争。从万隆会议开始，发展中国家作为一支新兴独立的政治力量登上了国际舞台。因此，万隆会议和第二次世界大战之间的关系是：第二次世界大战结束后，亚洲民族独立运动兴起，万隆会议的召开反映了亿万亚非人民争取和保障民族独立、反对侵略战争、维护世界和平、促进亚非国家团结合作的共同愿望。维护了许多亚非民族主义国家的民族独立和国家主权出发。</w:t>
      </w:r>
    </w:p>
    <w:p w14:paraId="29D634D3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216C28D1" wp14:editId="4D669E2F">
            <wp:extent cx="95250" cy="171450"/>
            <wp:effectExtent l="0" t="0" r="0" b="0"/>
            <wp:docPr id="100067" name="图片 100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小问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19B55201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认识：根据所学可知，</w:t>
      </w:r>
      <w:r>
        <w:rPr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世纪末，新航路开辟后，欧洲殖民者对亚洲进行了殖民掠夺，给殖民地人民带来了深重的灾难。在此期间，欧洲文化传到亚洲，对殖民地社会的发展产生了深远的影响。</w:t>
      </w:r>
      <w:r>
        <w:rPr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z w:val="21"/>
          <w:szCs w:val="21"/>
          <w:lang w:eastAsia="zh-CN"/>
        </w:rPr>
        <w:t>世纪上半叶，工业革命完成，工业革命极大提高了社会生产力，要造成了西方先进东方落后的局面。为了扩大市场和倾销商品，帝国主义国家用船舰利炮打开了中国、日本等亚洲国家的大门，使中国完全沦为半殖民地半封建社会，内忧外患下，日本进行了明治维新成为亚洲唯一独立的国家，中国近代民族资本主义产生并有所发展。第一次世界大战削弱了帝国主义的殖民力量，进一步促进了殖民地半殖民地国家的民族觉醒。第二次世界大战后，民族解放运动空前高涨，席卷全球。殖民帝国纷纷瓦解，越来越多的亚洲和非洲国家取得独立。从万隆会议开始，发展中国家作为一支新兴独立的政治力量登上了国际舞台。冷战结束后，随着世界多极化趋势的发展，建立国际政治经济新秩序，成为大多数国家的要求。各国致力于发展经济，力争增强经济实力，在新的世界格局中占据有利地位。 中国作为最大的发展中国家，主张在国际关系中弘扬平等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74CF5D1E" wp14:editId="52344541">
            <wp:extent cx="28575" cy="28575"/>
            <wp:effectExtent l="0" t="0" r="0" b="0"/>
            <wp:docPr id="100069" name="图片 100069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page number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7B18D" w14:textId="77777777" w:rsidR="00486A09" w:rsidRDefault="00486A09">
      <w:pPr>
        <w:rPr>
          <w:lang w:eastAsia="zh-CN"/>
        </w:rPr>
        <w:sectPr w:rsidR="00486A09">
          <w:headerReference w:type="default" r:id="rId16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1403491D" w14:textId="77777777" w:rsidR="00486A09" w:rsidRDefault="00F65A5E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互信、包容互鉴、合作共赢的精神，共同维护国际公平正义。提出了构建人类命运共同体，建设持久和平、普遍安全、共同繁荣、开放包容、清洁美丽的世界。因此，可以得到的认识是：</w:t>
      </w:r>
      <w:r>
        <w:rPr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世纪以来世界发展与亚洲的关系密不可分，给亚洲带来灾难的同时，也促进了亚洲民族的觉醒和发展，最终成为当今世界多极化中不可缺少的重要力量。因此，“</w:t>
      </w:r>
      <w:r>
        <w:rPr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世纪以来世界与亚洲的联系”的认识是：</w:t>
      </w:r>
      <w:r>
        <w:rPr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世纪以来世界发展与亚洲的关系密不可分，给亚洲带来灾难的同时，也促进了亚洲民族的觉醒和发展，最终成为当今世界多极化中不可缺少的重要力量。</w:t>
      </w:r>
    </w:p>
    <w:p w14:paraId="5D189DAC" w14:textId="77777777" w:rsidR="00486A09" w:rsidRDefault="00486A09">
      <w:pPr>
        <w:widowControl w:val="0"/>
        <w:spacing w:line="360" w:lineRule="auto"/>
        <w:rPr>
          <w:sz w:val="21"/>
          <w:szCs w:val="21"/>
          <w:lang w:eastAsia="zh-CN"/>
        </w:rPr>
      </w:pPr>
    </w:p>
    <w:p w14:paraId="1465BBE9" w14:textId="77777777" w:rsidR="00486A09" w:rsidRDefault="00486A09">
      <w:pPr>
        <w:widowControl w:val="0"/>
        <w:spacing w:line="360" w:lineRule="auto"/>
        <w:rPr>
          <w:sz w:val="21"/>
          <w:szCs w:val="21"/>
          <w:lang w:eastAsia="zh-CN"/>
        </w:rPr>
      </w:pPr>
    </w:p>
    <w:p w14:paraId="1DE686C1" w14:textId="77777777" w:rsidR="00486A09" w:rsidRDefault="00F65A5E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3A51A41B" wp14:editId="69118350">
            <wp:extent cx="28575" cy="28575"/>
            <wp:effectExtent l="0" t="0" r="0" b="0"/>
            <wp:docPr id="100083" name="图片 100083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page number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C5AED" w14:textId="77777777" w:rsidR="00486A09" w:rsidRDefault="00486A09">
      <w:bookmarkStart w:id="0" w:name="_GoBack"/>
      <w:bookmarkEnd w:id="0"/>
    </w:p>
    <w:sectPr w:rsidR="00486A09">
      <w:headerReference w:type="default" r:id="rId17"/>
      <w:type w:val="continuous"/>
      <w:pgSz w:w="11927" w:h="16875"/>
      <w:pgMar w:top="800" w:right="1120" w:bottom="540" w:left="11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ADB02" w14:textId="77777777" w:rsidR="00517926" w:rsidRDefault="00517926">
      <w:r>
        <w:separator/>
      </w:r>
    </w:p>
  </w:endnote>
  <w:endnote w:type="continuationSeparator" w:id="0">
    <w:p w14:paraId="4151BC2A" w14:textId="77777777" w:rsidR="00517926" w:rsidRDefault="00517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BB627" w14:textId="77777777" w:rsidR="00517926" w:rsidRDefault="00517926">
      <w:r>
        <w:separator/>
      </w:r>
    </w:p>
  </w:footnote>
  <w:footnote w:type="continuationSeparator" w:id="0">
    <w:p w14:paraId="0846E378" w14:textId="77777777" w:rsidR="00517926" w:rsidRDefault="005179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0D152" w14:textId="743FB7EA" w:rsidR="00F65A5E" w:rsidRDefault="00F65A5E" w:rsidP="002B55C6">
    <w:pPr>
      <w:pStyle w:val="a4"/>
      <w:jc w:val="left"/>
      <w:rPr>
        <w:rFonts w:eastAsia="宋体"/>
      </w:rPr>
    </w:pPr>
  </w:p>
  <w:p w14:paraId="30B69BCA" w14:textId="271DCC3C" w:rsidR="00486A09" w:rsidRPr="00F65A5E" w:rsidRDefault="00486A09" w:rsidP="00F65A5E">
    <w:pPr>
      <w:pStyle w:val="a4"/>
      <w:rPr>
        <w:rFonts w:eastAsia="宋体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AD8EA" w14:textId="741F28CC" w:rsidR="00F65A5E" w:rsidRDefault="00F65A5E" w:rsidP="002B55C6">
    <w:pPr>
      <w:pStyle w:val="a4"/>
      <w:jc w:val="left"/>
      <w:rPr>
        <w:rFonts w:eastAsia="宋体" w:hint="eastAsia"/>
        <w:lang w:eastAsia="zh-CN"/>
      </w:rPr>
    </w:pPr>
  </w:p>
  <w:p w14:paraId="160B682A" w14:textId="30C6BCEF" w:rsidR="00486A09" w:rsidRPr="00F65A5E" w:rsidRDefault="00486A09" w:rsidP="00F65A5E">
    <w:pPr>
      <w:pStyle w:val="a4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1E7C6C" w14:textId="0AC027D1" w:rsidR="00F65A5E" w:rsidRDefault="00F65A5E" w:rsidP="002B55C6">
    <w:pPr>
      <w:pStyle w:val="a4"/>
      <w:jc w:val="left"/>
      <w:rPr>
        <w:rFonts w:eastAsia="宋体"/>
      </w:rPr>
    </w:pPr>
  </w:p>
  <w:p w14:paraId="1862AABC" w14:textId="6B6F83C1" w:rsidR="00486A09" w:rsidRPr="00F65A5E" w:rsidRDefault="00486A09" w:rsidP="00F65A5E">
    <w:pPr>
      <w:pStyle w:val="a4"/>
      <w:rPr>
        <w:rFonts w:eastAsia="宋体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9AB6B" w14:textId="08FC7037" w:rsidR="00F65A5E" w:rsidRDefault="00F65A5E" w:rsidP="002B55C6">
    <w:pPr>
      <w:pStyle w:val="a4"/>
      <w:jc w:val="left"/>
      <w:rPr>
        <w:rFonts w:eastAsia="宋体" w:hint="eastAsia"/>
        <w:lang w:eastAsia="zh-CN"/>
      </w:rPr>
    </w:pPr>
  </w:p>
  <w:p w14:paraId="5F478162" w14:textId="11E04667" w:rsidR="00486A09" w:rsidRPr="00F65A5E" w:rsidRDefault="00486A09" w:rsidP="00F65A5E">
    <w:pPr>
      <w:pStyle w:val="a4"/>
      <w:rPr>
        <w:rFonts w:eastAsia="宋体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5DFEC" w14:textId="77777777" w:rsidR="00F65A5E" w:rsidRDefault="00F65A5E" w:rsidP="00F65A5E">
    <w:pPr>
      <w:pStyle w:val="a4"/>
      <w:rPr>
        <w:rFonts w:eastAsia="宋体"/>
      </w:rPr>
    </w:pPr>
    <w:r>
      <w:rPr>
        <w:rFonts w:eastAsia="宋体" w:hint="eastAsia"/>
      </w:rPr>
      <w:t>更多资料添加微信号：</w:t>
    </w:r>
    <w:r>
      <w:rPr>
        <w:rFonts w:eastAsia="宋体" w:hint="eastAsia"/>
      </w:rPr>
      <w:t xml:space="preserve">DEM2008  </w:t>
    </w:r>
    <w:r>
      <w:rPr>
        <w:rFonts w:eastAsia="宋体" w:hint="eastAsia"/>
      </w:rPr>
      <w:t>淘宝搜索店铺：优尖升教育</w:t>
    </w:r>
    <w:r>
      <w:rPr>
        <w:rFonts w:eastAsia="宋体" w:hint="eastAsia"/>
      </w:rPr>
      <w:t xml:space="preserve"> </w:t>
    </w:r>
    <w:r>
      <w:rPr>
        <w:rFonts w:eastAsia="宋体" w:hint="eastAsia"/>
      </w:rPr>
      <w:t>网址：</w:t>
    </w:r>
    <w:r>
      <w:rPr>
        <w:rFonts w:eastAsia="宋体" w:hint="eastAsia"/>
      </w:rPr>
      <w:t>shop492842749.taobao.com</w:t>
    </w:r>
  </w:p>
  <w:p w14:paraId="63122C01" w14:textId="25F9CEF9" w:rsidR="00486A09" w:rsidRPr="00F65A5E" w:rsidRDefault="00486A09" w:rsidP="00F65A5E">
    <w:pPr>
      <w:pStyle w:val="a4"/>
      <w:rPr>
        <w:rFonts w:eastAsia="宋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1F1DF7"/>
    <w:rsid w:val="002B55C6"/>
    <w:rsid w:val="00360E11"/>
    <w:rsid w:val="00486A09"/>
    <w:rsid w:val="00517926"/>
    <w:rsid w:val="00587F29"/>
    <w:rsid w:val="008E0519"/>
    <w:rsid w:val="00A77B3E"/>
    <w:rsid w:val="00C63381"/>
    <w:rsid w:val="00CA2A55"/>
    <w:rsid w:val="00E30F91"/>
    <w:rsid w:val="00F65A5E"/>
    <w:rsid w:val="1F8F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C644A8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link w:val="Char"/>
    <w:rsid w:val="00F65A5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65A5E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settings" Target="settings.xml"/><Relationship Id="rId16" Type="http://schemas.openxmlformats.org/officeDocument/2006/relationships/header" Target="head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551</Words>
  <Characters>3147</Characters>
  <Application>Microsoft Office Word</Application>
  <DocSecurity>0</DocSecurity>
  <Lines>26</Lines>
  <Paragraphs>7</Paragraphs>
  <ScaleCrop>false</ScaleCrop>
  <LinksUpToDate>false</LinksUpToDate>
  <CharactersWithSpaces>3691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2024-07-04T08:28:00Z</dcterms:created>
  <dcterms:modified xsi:type="dcterms:W3CDTF">2024-10-22T02:45:00Z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1DFF5C0DCBB04423B1EFCFCE137F1E11_12</vt:lpwstr>
  </property>
</Properties>
</file>