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641" w:rsidRDefault="00413641" w:rsidP="00413641">
      <w:pPr>
        <w:pStyle w:val="2"/>
        <w:jc w:val="center"/>
      </w:pPr>
      <w:bookmarkStart w:id="0" w:name="_GoBack"/>
      <w:r w:rsidRPr="009A04D2">
        <w:rPr>
          <w:rFonts w:ascii="Times New Roman" w:hAnsi="Times New Roman" w:cs="Times New Roman"/>
        </w:rPr>
        <w:t>第</w:t>
      </w:r>
      <w:r w:rsidRPr="009A04D2">
        <w:rPr>
          <w:rFonts w:ascii="Times New Roman" w:hAnsi="Times New Roman" w:cs="Times New Roman"/>
        </w:rPr>
        <w:t>55</w:t>
      </w:r>
      <w:r w:rsidRPr="009A04D2">
        <w:rPr>
          <w:rFonts w:ascii="Times New Roman" w:hAnsi="Times New Roman" w:cs="Times New Roman"/>
        </w:rPr>
        <w:t>练</w:t>
      </w:r>
      <w:bookmarkEnd w:id="0"/>
      <w:r>
        <w:rPr>
          <w:rFonts w:ascii="Times New Roman" w:hAnsi="Times New Roman" w:cs="Times New Roman"/>
        </w:rPr>
        <w:t xml:space="preserve">　</w:t>
      </w:r>
      <w:r w:rsidRPr="009A04D2">
        <w:rPr>
          <w:rFonts w:ascii="Times New Roman" w:hAnsi="Times New Roman" w:cs="Times New Roman"/>
        </w:rPr>
        <w:t>货币与赋税制度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</w:t>
      </w: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鞍山市高三联考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秦半两钱重十二铢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币值也很高。在经历了秦末农民起义和惨烈的楚汉之争后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若仍以秦半两钱为基础货币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则小件物品无法交易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财货难以流畅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故汉初改铸为小钱。这一变化表明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 xml:space="preserve">　　</w:t>
      </w:r>
      <w:r>
        <w:rPr>
          <w:rFonts w:ascii="Times New Roman" w:hAnsi="Times New Roman" w:cs="Times New Roman" w:hint="eastAsia"/>
        </w:rPr>
        <w:t>)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</w:t>
      </w:r>
      <w:r w:rsidRPr="009A04D2">
        <w:rPr>
          <w:rFonts w:ascii="Times New Roman" w:hAnsi="Times New Roman" w:cs="Times New Roman"/>
        </w:rPr>
        <w:t>秦半两钱的货币价值消失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政府放弃了重农抑商政策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货币改革要适应经济发展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楚汉战争导致了货币混乱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东营市高三模拟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公元</w:t>
      </w:r>
      <w:r w:rsidRPr="009A04D2">
        <w:rPr>
          <w:rFonts w:ascii="Times New Roman" w:hAnsi="Times New Roman" w:cs="Times New Roman"/>
        </w:rPr>
        <w:t>1023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北宋设立了益州交子务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开始正式发行官方交子。交子采取分界发行的办法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每界到期时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用新发行的交子替换旧发行的交子。每界交子发行以</w:t>
      </w:r>
      <w:r w:rsidRPr="009A04D2">
        <w:rPr>
          <w:rFonts w:ascii="Times New Roman" w:hAnsi="Times New Roman" w:cs="Times New Roman"/>
        </w:rPr>
        <w:t>1256340</w:t>
      </w:r>
      <w:r w:rsidRPr="009A04D2">
        <w:rPr>
          <w:rFonts w:ascii="Times New Roman" w:hAnsi="Times New Roman" w:cs="Times New Roman"/>
        </w:rPr>
        <w:t>缗为限。这一发行方法有利于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健全金融信用体系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稳定国家金融秩序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推动长途贸易发展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缓解政府财政</w:t>
      </w:r>
      <w:r w:rsidRPr="009A04D2">
        <w:rPr>
          <w:rFonts w:ascii="Times New Roman" w:hAnsi="Times New Roman" w:cs="Times New Roman" w:hint="eastAsia"/>
        </w:rPr>
        <w:t>困难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北京市海淀区高三模拟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元朝实行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币同制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禁用金银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发行国家掌控的纸币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在全国范围内将纸币确定为主要的流通货币、辅以少量银元宝、铜钱、铁钱等。其主要目的在于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加强中央政府的权力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发展商品经济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增加政府的财政收入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垄断对外贸易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天津滨海新区高三模拟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19</w:t>
      </w:r>
      <w:r w:rsidRPr="009A04D2">
        <w:rPr>
          <w:rFonts w:ascii="Times New Roman" w:hAnsi="Times New Roman" w:cs="Times New Roman"/>
        </w:rPr>
        <w:t>世纪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世界上形成了以英镑为中心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以金币或黄金在国际间流通为主的国际金本位货币制度。这</w:t>
      </w:r>
      <w:r w:rsidRPr="009A04D2">
        <w:rPr>
          <w:rFonts w:ascii="Times New Roman" w:hAnsi="Times New Roman" w:cs="Times New Roman" w:hint="eastAsia"/>
        </w:rPr>
        <w:t>反映出当时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资本主义世界市场形成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美国处于世界领先地位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金属货币成为主要货币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英国经济占据主导地位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广东汕头市高三模拟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二战前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许多资本主义国家都放弃了本国货币与黄金保持固定汇率的机制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并逐渐形成英镑区、美元区和法郎区。这反映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区域集团化的雏形出现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多国加大对经济的干预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国际经济需要秩序规范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经济危机得以缓解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山东滨州市高三模拟</w:t>
      </w:r>
      <w:r>
        <w:rPr>
          <w:rFonts w:ascii="Times New Roman" w:eastAsia="楷体_GB2312" w:hAnsi="Times New Roman" w:cs="Times New Roman" w:hint="eastAsia"/>
        </w:rPr>
        <w:t>]</w:t>
      </w:r>
      <w:r w:rsidRPr="009A04D2">
        <w:rPr>
          <w:rFonts w:ascii="Times New Roman" w:hAnsi="Times New Roman" w:cs="Times New Roman"/>
        </w:rPr>
        <w:t>19</w:t>
      </w:r>
      <w:r w:rsidRPr="009A04D2">
        <w:rPr>
          <w:rFonts w:ascii="Times New Roman" w:hAnsi="Times New Roman" w:cs="Times New Roman"/>
        </w:rPr>
        <w:t>世纪</w:t>
      </w:r>
      <w:r w:rsidRPr="009A04D2">
        <w:rPr>
          <w:rFonts w:ascii="Times New Roman" w:hAnsi="Times New Roman" w:cs="Times New Roman"/>
        </w:rPr>
        <w:t>70</w:t>
      </w:r>
      <w:r w:rsidRPr="009A04D2">
        <w:rPr>
          <w:rFonts w:ascii="Times New Roman" w:hAnsi="Times New Roman" w:cs="Times New Roman"/>
        </w:rPr>
        <w:t>年代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英镑、法郎、美元和马克可以随时去兑换黄金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一个黄金持有者亦可以把它兑换成任何一种货币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这些通货就像许许多多不同的语言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都在表示着毫无区别的东西。这表明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以英镑为中心的货币体系形成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西方资本主义国家实力强大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第二次工业革命密切了世界联系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金本位制得到人们广泛接受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东营市高三模拟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学者吕思勉认为：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历代收酒税认真的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莫如宋朝</w:t>
      </w:r>
      <w:r w:rsidRPr="009A04D2">
        <w:rPr>
          <w:rFonts w:hAnsi="宋体" w:cs="Times New Roman"/>
        </w:rPr>
        <w:t>……</w:t>
      </w:r>
      <w:r w:rsidRPr="009A04D2">
        <w:rPr>
          <w:rFonts w:ascii="Times New Roman" w:hAnsi="Times New Roman" w:cs="Times New Roman"/>
        </w:rPr>
        <w:t>宋时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诸州多置</w:t>
      </w:r>
      <w:r w:rsidRPr="009A04D2">
        <w:rPr>
          <w:rFonts w:hAnsi="宋体" w:cs="Times New Roman"/>
        </w:rPr>
        <w:t>‘</w:t>
      </w:r>
      <w:r w:rsidRPr="009A04D2">
        <w:rPr>
          <w:rFonts w:ascii="Times New Roman" w:hAnsi="Times New Roman" w:cs="Times New Roman"/>
        </w:rPr>
        <w:t>务</w:t>
      </w:r>
      <w:r w:rsidRPr="009A04D2">
        <w:rPr>
          <w:rFonts w:hAnsi="宋体" w:cs="Times New Roman"/>
        </w:rPr>
        <w:t>’</w:t>
      </w:r>
      <w:r w:rsidRPr="009A04D2">
        <w:rPr>
          <w:rFonts w:ascii="Times New Roman" w:hAnsi="Times New Roman" w:cs="Times New Roman"/>
        </w:rPr>
        <w:t>自酿。县和镇乡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则有许民酿而收其税的。官吏</w:t>
      </w:r>
      <w:r w:rsidRPr="009A04D2">
        <w:rPr>
          <w:rFonts w:ascii="Times New Roman" w:hAnsi="Times New Roman" w:cs="Times New Roman" w:hint="eastAsia"/>
        </w:rPr>
        <w:t>为维持税收起见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往往不许其停业。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由此可以推知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增加收入放弃抑商政策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酒税补充地方经费不足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酒税是财政最主要来源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政府加强对商人的控制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德州市高三联考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唐朝后期推行两税法：所有民户在现居地登记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根据资产情况定户等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按户等高低交纳赋税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不居处而行商者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在所郡县税三十之一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。这一政策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放松了国家对百姓的人身控制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导致了唐代藩镇割据局面的形成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与租庸调相比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税制更加繁杂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巩固了封建国家的土地国有制度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济南市高三联考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定额租始于唐宋时期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清代时在江南地区已成为占主导地位的租佃形式。在定额租下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地主阶级的经营权甚至部分所有权向佃农转移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这成为宋以后封建租佃制最重要和最本质的进步。宋以后定额租的发展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有利于商品经济的发展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抑制农民的生产积极性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导致土地兼并不断加剧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促使新的生产关系出现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山东济南市高三模拟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1712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 w:hint="eastAsia"/>
        </w:rPr>
        <w:t>清政府规定以康熙五十年</w:t>
      </w:r>
      <w:r>
        <w:rPr>
          <w:rFonts w:ascii="Times New Roman" w:hAnsi="Times New Roman" w:cs="Times New Roman" w:hint="eastAsia"/>
        </w:rPr>
        <w:t>(</w:t>
      </w:r>
      <w:r w:rsidRPr="009A04D2">
        <w:rPr>
          <w:rFonts w:ascii="Times New Roman" w:hAnsi="Times New Roman" w:cs="Times New Roman"/>
        </w:rPr>
        <w:t>1711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的人丁数作为征收丁税的固定数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以后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滋生人丁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永不加赋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</w:t>
      </w:r>
      <w:r w:rsidRPr="009A04D2">
        <w:rPr>
          <w:rFonts w:ascii="Times New Roman" w:hAnsi="Times New Roman" w:cs="Times New Roman"/>
        </w:rPr>
        <w:t>1723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清政府开始普遍推行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摊丁入亩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把固定下来的丁税平均摊入田赋中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征收统一的地丁银。清政府这些举措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免除了农民的徭役负担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客观上促进了人口的增长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旨在废除封建土地所有制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减少了政府的财政收入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舟山市高三联考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经过不断改革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20</w:t>
      </w:r>
      <w:r w:rsidRPr="009A04D2">
        <w:rPr>
          <w:rFonts w:ascii="Times New Roman" w:hAnsi="Times New Roman" w:cs="Times New Roman"/>
        </w:rPr>
        <w:t>世纪</w:t>
      </w:r>
      <w:r w:rsidRPr="009A04D2">
        <w:rPr>
          <w:rFonts w:ascii="Times New Roman" w:hAnsi="Times New Roman" w:cs="Times New Roman"/>
        </w:rPr>
        <w:t>90</w:t>
      </w:r>
      <w:r w:rsidRPr="009A04D2">
        <w:rPr>
          <w:rFonts w:ascii="Times New Roman" w:hAnsi="Times New Roman" w:cs="Times New Roman"/>
        </w:rPr>
        <w:t>年代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我国形成了内资企业适用《企业所得税暂行条例》、外资企业适用《外商投资企</w:t>
      </w:r>
      <w:r w:rsidRPr="009A04D2">
        <w:rPr>
          <w:rFonts w:ascii="Times New Roman" w:hAnsi="Times New Roman" w:cs="Times New Roman" w:hint="eastAsia"/>
        </w:rPr>
        <w:t>业和外国企业所得税法》的企业所得税制度。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内外有别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的税制下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虽然内外资企业的法定名义税率统一为</w:t>
      </w:r>
      <w:r w:rsidRPr="009A04D2">
        <w:rPr>
          <w:rFonts w:ascii="Times New Roman" w:hAnsi="Times New Roman" w:cs="Times New Roman"/>
        </w:rPr>
        <w:t>33%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但由于外资企业享受的税收优惠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实际税负仍然是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内重外轻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的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双轨制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运行模式。这反映出当时我国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对外开放水平不断提升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经济体制开始转轨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企业的经营权逐渐放宽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税制改革亟待深化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宁波市高三一模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1980</w:t>
      </w:r>
      <w:r w:rsidRPr="009A04D2">
        <w:rPr>
          <w:rFonts w:ascii="Times New Roman" w:hAnsi="Times New Roman" w:cs="Times New Roman"/>
        </w:rPr>
        <w:t>年全国人大通过的《中华人民共和国个人所得税法》</w:t>
      </w:r>
      <w:r w:rsidRPr="009A04D2">
        <w:rPr>
          <w:rFonts w:ascii="Times New Roman" w:hAnsi="Times New Roman" w:cs="Times New Roman"/>
        </w:rPr>
        <w:lastRenderedPageBreak/>
        <w:t>规定个税起征点为</w:t>
      </w:r>
      <w:r w:rsidRPr="009A04D2">
        <w:rPr>
          <w:rFonts w:ascii="Times New Roman" w:hAnsi="Times New Roman" w:cs="Times New Roman"/>
        </w:rPr>
        <w:t>800</w:t>
      </w:r>
      <w:r w:rsidRPr="009A04D2">
        <w:rPr>
          <w:rFonts w:ascii="Times New Roman" w:hAnsi="Times New Roman" w:cs="Times New Roman"/>
        </w:rPr>
        <w:t>元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而</w:t>
      </w:r>
      <w:r w:rsidRPr="009A04D2">
        <w:rPr>
          <w:rFonts w:ascii="Times New Roman" w:hAnsi="Times New Roman" w:cs="Times New Roman"/>
        </w:rPr>
        <w:t>2018</w:t>
      </w:r>
      <w:r w:rsidRPr="009A04D2">
        <w:rPr>
          <w:rFonts w:ascii="Times New Roman" w:hAnsi="Times New Roman" w:cs="Times New Roman"/>
        </w:rPr>
        <w:t>年全国人大修改后的个人所得税</w:t>
      </w:r>
      <w:r w:rsidRPr="009A04D2">
        <w:rPr>
          <w:rFonts w:ascii="Times New Roman" w:hAnsi="Times New Roman" w:cs="Times New Roman" w:hint="eastAsia"/>
        </w:rPr>
        <w:t>法规定个税起征点为每月</w:t>
      </w:r>
      <w:r w:rsidRPr="009A04D2">
        <w:rPr>
          <w:rFonts w:ascii="Times New Roman" w:hAnsi="Times New Roman" w:cs="Times New Roman"/>
        </w:rPr>
        <w:t>5000</w:t>
      </w:r>
      <w:r w:rsidRPr="009A04D2">
        <w:rPr>
          <w:rFonts w:ascii="Times New Roman" w:hAnsi="Times New Roman" w:cs="Times New Roman"/>
        </w:rPr>
        <w:t>元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并进行包括子女教育、大病医疗、住房贷款利息、赡养老人等在内的专项附加扣除。这一变化表明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国民收入得到普遍提高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个税征收制度更加完善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国民生产总值极大增长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国民贫富差距不断拉大</w:t>
      </w:r>
    </w:p>
    <w:p w:rsidR="00413641" w:rsidRDefault="00413641" w:rsidP="0041364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br w:type="page"/>
      </w:r>
    </w:p>
    <w:p w:rsidR="004A6BFC" w:rsidRPr="00413641" w:rsidRDefault="004A6BFC"/>
    <w:sectPr w:rsidR="004A6BFC" w:rsidRPr="00413641" w:rsidSect="00B05159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095E" w:rsidRDefault="00DE095E" w:rsidP="00413641">
      <w:r>
        <w:separator/>
      </w:r>
    </w:p>
  </w:endnote>
  <w:endnote w:type="continuationSeparator" w:id="1">
    <w:p w:rsidR="00DE095E" w:rsidRDefault="00DE095E" w:rsidP="004136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095E" w:rsidRDefault="00DE095E" w:rsidP="00413641">
      <w:r>
        <w:separator/>
      </w:r>
    </w:p>
  </w:footnote>
  <w:footnote w:type="continuationSeparator" w:id="1">
    <w:p w:rsidR="00DE095E" w:rsidRDefault="00DE095E" w:rsidP="004136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C92" w:rsidRPr="00095C92" w:rsidRDefault="00095C92" w:rsidP="00095C92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277F"/>
    <w:rsid w:val="00095C92"/>
    <w:rsid w:val="00413641"/>
    <w:rsid w:val="004A6BFC"/>
    <w:rsid w:val="00B05159"/>
    <w:rsid w:val="00C8277F"/>
    <w:rsid w:val="00DE09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159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41364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36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36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36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3641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41364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413641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413641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41364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36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36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36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3641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41364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413641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413641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290</Words>
  <Characters>1654</Characters>
  <Application>Microsoft Office Word</Application>
  <DocSecurity>0</DocSecurity>
  <Lines>13</Lines>
  <Paragraphs>3</Paragraphs>
  <ScaleCrop>false</ScaleCrop>
  <Company>CHINA</Company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2021-07-01T03:53:00Z</dcterms:created>
  <dcterms:modified xsi:type="dcterms:W3CDTF">2021-09-03T10:37:00Z</dcterms:modified>
</cp:coreProperties>
</file>